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12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2711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 Christine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26"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94005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07/02/2026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5,221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18,800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07/02/2026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5,787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8.72</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24,587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07/02/2026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11,008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23.5616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13,579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5,221</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60" w:type="dxa"/>
            <w:vAlign w:val="bottom"/>
          </w:tcPr>
          <w:p>
            <w:pPr>
              <w:spacing w:after="0"/>
              <w:rPr>
                <w:sz w:val="11"/>
                <w:szCs w:val="11"/>
                <w:color w:val="auto"/>
              </w:rPr>
            </w:pPr>
          </w:p>
        </w:tc>
        <w:tc>
          <w:tcPr>
            <w:tcW w:w="104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07/02/2026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5,221</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09/30/2029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jc w:val="right"/>
              <w:ind w:right="12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4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right"/>
              <w:ind w:right="3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5,787</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8.72</w:t>
            </w:r>
          </w:p>
        </w:tc>
        <w:tc>
          <w:tcPr>
            <w:tcW w:w="160" w:type="dxa"/>
            <w:vAlign w:val="bottom"/>
          </w:tcPr>
          <w:p>
            <w:pPr>
              <w:spacing w:after="0"/>
              <w:rPr>
                <w:sz w:val="11"/>
                <w:szCs w:val="11"/>
                <w:color w:val="auto"/>
              </w:rPr>
            </w:pPr>
          </w:p>
        </w:tc>
        <w:tc>
          <w:tcPr>
            <w:tcW w:w="104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07/02/2026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5,787</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02/12/2034</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128,611</w:t>
            </w:r>
          </w:p>
        </w:tc>
        <w:tc>
          <w:tcPr>
            <w:tcW w:w="24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right"/>
              <w:ind w:right="3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$23.23 and the highest price at which shares were sold was $24.16.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as to 1/4 of the total shares on September 9, 2020, and then 1/48 of the total shares vested monthly thereafter until the option was fully vested on August 9, 2023.</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1/36 of the total shares monthly beginning March 13, 2024, until the option is fully vested on February 13, 2027, subject to the Reporting Person's provision of service to the Issuer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46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Christine</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08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828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7199"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2026-07-02T17:03:46Z</dcterms:created>
  <dcterms:modified xsi:type="dcterms:W3CDTF">2026-07-02T17:03:46Z</dcterms:modified>
</cp:coreProperties>
</file>