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12,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tbl>
      <w:tblPr>
        <w:tblW w:w="5563" w:type="dxa"/>
        <w:jc w:val="left"/>
        <w:tblInd w:w="0" w:type="dxa"/>
        <w:tblLayout w:type="fixed"/>
        <w:tblCellMar>
          <w:top w:w="28" w:type="dxa"/>
          <w:left w:w="28" w:type="dxa"/>
          <w:bottom w:w="28" w:type="dxa"/>
          <w:right w:w="28" w:type="dxa"/>
        </w:tblCellMar>
      </w:tblPr>
      <w:tblGrid>
        <w:gridCol w:w="1091"/>
        <w:gridCol w:w="957"/>
        <w:gridCol w:w="967"/>
        <w:gridCol w:w="353"/>
        <w:gridCol w:w="353"/>
        <w:gridCol w:w="358"/>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001-39398</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27-0838048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Sierra Point Parkway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Brisbane, California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94005</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(415) 660-5320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pPr>
      <w:r>
        <w:rPr>
          <w:rFonts w:ascii="Times New Roman;serif" w:hAnsi="Times New Roman;serif"/>
          <w:b/>
          <w:color w:val="000000"/>
          <w:sz w:val="20"/>
        </w:rPr>
        <w:t>Securities registered pursuant to Section 12(b) of the Act:</w:t>
      </w:r>
      <w:r>
        <w:rPr>
          <w:color w:val="000000"/>
        </w:rPr>
        <w:t> </w:t>
      </w:r>
    </w:p>
    <w:tbl>
      <w:tblPr>
        <w:tblW w:w="8337" w:type="dxa"/>
        <w:jc w:val="left"/>
        <w:tblInd w:w="0" w:type="dxa"/>
        <w:tblLayout w:type="fixed"/>
        <w:tblCellMar>
          <w:top w:w="28" w:type="dxa"/>
          <w:left w:w="28" w:type="dxa"/>
          <w:bottom w:w="28" w:type="dxa"/>
          <w:right w:w="28" w:type="dxa"/>
        </w:tblCellMar>
      </w:tblPr>
      <w:tblGrid>
        <w:gridCol w:w="1301"/>
        <w:gridCol w:w="1141"/>
        <w:gridCol w:w="1157"/>
        <w:gridCol w:w="474"/>
        <w:gridCol w:w="474"/>
        <w:gridCol w:w="476"/>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9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31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00" w:after="283"/>
        <w:jc w:val="left"/>
        <w:rPr>
          <w:rFonts w:ascii="Times New Roman;serif" w:hAnsi="Times New Roman;serif"/>
          <w:b w:val="false"/>
          <w:color w:val="211D1E"/>
          <w:sz w:val="20"/>
        </w:rPr>
      </w:pPr>
      <w:r>
        <w:rPr>
          <w:rFonts w:ascii="Times New Roman;serif" w:hAnsi="Times New Roman;serif"/>
          <w:b w:val="false"/>
          <w:color w:val="211D1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rFonts w:ascii="Times New Roman;serif" w:hAnsi="Times New Roman;serif"/>
          <w:b w:val="false"/>
          <w:color w:val="211D1E"/>
          <w:sz w:val="20"/>
        </w:rPr>
        <w:t xml:space="preserve">Emerging growth company </w:t>
      </w:r>
      <w:r>
        <w:rPr>
          <w:rFonts w:ascii="Wingdings;sans-serif" w:hAnsi="Wingdings;sans-serif"/>
          <w:b w:val="false"/>
          <w:color w:val="211D1E"/>
          <w:sz w:val="20"/>
        </w:rPr>
        <w:t>o</w:t>
      </w:r>
    </w:p>
    <w:p>
      <w:pPr>
        <w:pStyle w:val="TextBody"/>
        <w:bidi w:val="0"/>
        <w:spacing w:lineRule="auto" w:line="288" w:before="100" w:after="283"/>
        <w:jc w:val="left"/>
        <w:rPr/>
      </w:pPr>
      <w:r>
        <w:rPr>
          <w:rFonts w:ascii="Times New Roman;serif" w:hAnsi="Times New Roman;serif"/>
          <w:b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1D1E"/>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On October 12, 2026, Nurix Therapeutics, Inc., a Delaware corporation (the “Company”), issued a press release announcing the Company’s financial results for the fiscal quarter ended August 31, 2026. The press rele</w:t>
      </w:r>
      <w:r>
        <w:rPr>
          <w:rFonts w:ascii="Times New Roman;serif" w:hAnsi="Times New Roman;serif"/>
          <w:b w:val="false"/>
          <w:color w:val="000000"/>
          <w:sz w:val="20"/>
          <w:shd w:fill="FFFFFF" w:val="clear"/>
        </w:rPr>
        <w:t>ase is furnished as Exhibit 99.1 and is incorporated herein by reference.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rix-20261013xexx991.htm">
              <w:r>
                <w:rPr>
                  <w:rStyle w:val="InternetLink"/>
                  <w:rFonts w:ascii="Times New Roman;serif" w:hAnsi="Times New Roman;serif"/>
                  <w:b w:val="false"/>
                  <w:color w:val="0000FF"/>
                  <w:sz w:val="20"/>
                  <w:u w:val="single"/>
                </w:rPr>
                <w:t>Press Release dated October 12,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535" w:type="dxa"/>
        <w:jc w:val="left"/>
        <w:tblInd w:w="0" w:type="dxa"/>
        <w:tblLayout w:type="fixed"/>
        <w:tblCellMar>
          <w:top w:w="28" w:type="dxa"/>
          <w:left w:w="28" w:type="dxa"/>
          <w:bottom w:w="28" w:type="dxa"/>
          <w:right w:w="28" w:type="dxa"/>
        </w:tblCellMar>
      </w:tblPr>
      <w:tblGrid>
        <w:gridCol w:w="726"/>
        <w:gridCol w:w="640"/>
        <w:gridCol w:w="643"/>
        <w:gridCol w:w="439"/>
        <w:gridCol w:w="439"/>
        <w:gridCol w:w="439"/>
        <w:gridCol w:w="939"/>
        <w:gridCol w:w="939"/>
        <w:gridCol w:w="133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13,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Arthur T. Sands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[Nurix logo]                                            </w:t>
      </w:r>
    </w:p>
    <w:p>
      <w:pPr>
        <w:pStyle w:val="TextBody"/>
        <w:bidi w:val="0"/>
        <w:spacing w:before="240" w:after="283"/>
        <w:jc w:val="center"/>
        <w:rPr/>
      </w:pPr>
      <w:r>
        <w:rPr/>
      </w:r>
    </w:p>
    <w:p>
      <w:pPr>
        <w:pStyle w:val="TextBody"/>
        <w:bidi w:val="0"/>
        <w:spacing w:lineRule="auto" w:line="276" w:before="180" w:after="283"/>
        <w:jc w:val="center"/>
        <w:rPr>
          <w:rFonts w:ascii="Times New Roman;serif" w:hAnsi="Times New Roman;serif"/>
          <w:b/>
          <w:color w:val="000000"/>
          <w:sz w:val="20"/>
        </w:rPr>
      </w:pPr>
      <w:r>
        <w:rPr>
          <w:rFonts w:ascii="Times New Roman;serif" w:hAnsi="Times New Roman;serif"/>
          <w:b/>
          <w:color w:val="000000"/>
          <w:sz w:val="20"/>
        </w:rPr>
        <w:t>Nurix Therapeutics Reports Third Quarter 2026 Financial Results and Provides Corporate Update</w:t>
      </w:r>
    </w:p>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Dosed first patient in registrational Phase 3 DAYBreak CLL-306 trial comparing bexobrutideg with pirtobrutinib in relapsed/refractory CLL/SLL</w:t>
      </w:r>
    </w:p>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Advanced bexobrutideg combination strategy with initiation of recruiting for the Phase 1b/2 NX-5948-203 study</w:t>
      </w:r>
    </w:p>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Earned $27M from Gilead, Pfizer and Sanofi collaborations, including a $10M milestone from Sanofi for first patient dosed in the STAT6 degrader Phase 1 trial</w:t>
      </w:r>
    </w:p>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Advanced NX-1607 into Phase 1b expansion cohorts in MSS CRC, NSCLC, CRPC and melanoma with the first patient dosed in September 2026</w:t>
      </w:r>
    </w:p>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Following receipt of the $700 million upfront as part of the close of the Roche collaboration, Nurix has $1.1 billion in cash, cash equivalents and marketable securities, and runway into the second half of 2029 </w:t>
      </w:r>
    </w:p>
    <w:p>
      <w:pPr>
        <w:pStyle w:val="TextBody"/>
        <w:bidi w:val="0"/>
        <w:spacing w:lineRule="auto" w:line="288" w:before="120" w:after="283"/>
        <w:jc w:val="left"/>
        <w:rPr/>
      </w:pPr>
      <w:r>
        <w:rPr>
          <w:rFonts w:ascii="Times New Roman;serif" w:hAnsi="Times New Roman;serif"/>
          <w:b/>
          <w:color w:val="000000"/>
          <w:sz w:val="20"/>
        </w:rPr>
        <w:t>BRISBANE, Calif., October 12, 2026</w:t>
      </w:r>
      <w:r>
        <w:rPr>
          <w:color w:val="000000"/>
        </w:rPr>
        <w:t> </w:t>
      </w:r>
      <w:r>
        <w:rPr>
          <w:rFonts w:ascii="Times New Roman;serif" w:hAnsi="Times New Roman;serif"/>
          <w:b w:val="false"/>
          <w:color w:val="000000"/>
          <w:sz w:val="20"/>
        </w:rPr>
        <w:t>(GLOBE NEWSWIRE) -- Nurix Therapeutics, Inc. (Nasdaq: NRIX), a clinical-stage biopharmaceutical company focused on the discovery, development and commercialization of targeted protein degradation medicines, today reported financial results for the fiscal quarter ended August 31, 2026, and highlighted significant corporate updates on partnered clinical programs and its wholly owned oncology portfolio.</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The third quarter marked an important transition for Nurix as we moved bexobrutideg into Phase 3 development in CLL and began executing a broader clinical strategy designed to realize its potential across lines of therapy in both oncology and auto-immune disease,” said Arthur T. Sands, M.D., Ph.D., president and chief executive officer of Nurix. “At the same time, Sanofi advanced our oral STAT6 degrader into the clinic, and we advanced our CBL-B inhibitor NX-1607 into Phase 1b expansion cohorts across four solid tumor indications.”</w:t>
      </w:r>
    </w:p>
    <w:p>
      <w:pPr>
        <w:pStyle w:val="TextBody"/>
        <w:bidi w:val="0"/>
        <w:spacing w:lineRule="auto" w:line="276" w:before="240" w:after="283"/>
        <w:jc w:val="left"/>
        <w:rPr/>
      </w:pPr>
      <w:r>
        <w:rPr>
          <w:rFonts w:ascii="Times New Roman;serif" w:hAnsi="Times New Roman;serif"/>
          <w:b/>
          <w:color w:val="000000"/>
          <w:sz w:val="20"/>
          <w:u w:val="single"/>
        </w:rPr>
        <w:t>Program Highlights</w:t>
      </w:r>
      <w:r>
        <w:rPr>
          <w:rFonts w:ascii="Times New Roman;serif" w:hAnsi="Times New Roman;serif"/>
          <w:b/>
          <w:color w:val="000000"/>
          <w:sz w:val="20"/>
        </w:rPr>
        <w:t>*</w:t>
      </w:r>
    </w:p>
    <w:p>
      <w:pPr>
        <w:pStyle w:val="TextBody"/>
        <w:bidi w:val="0"/>
        <w:spacing w:lineRule="auto" w:line="276" w:before="120" w:after="283"/>
        <w:jc w:val="left"/>
        <w:rPr>
          <w:rFonts w:ascii="Times New Roman;serif" w:hAnsi="Times New Roman;serif"/>
          <w:b/>
          <w:i/>
          <w:color w:val="000000"/>
          <w:sz w:val="20"/>
          <w:u w:val="single"/>
        </w:rPr>
      </w:pPr>
      <w:r>
        <w:rPr>
          <w:rFonts w:ascii="Times New Roman;serif" w:hAnsi="Times New Roman;serif"/>
          <w:b/>
          <w:i/>
          <w:color w:val="000000"/>
          <w:sz w:val="20"/>
          <w:u w:val="single"/>
        </w:rPr>
        <w:t>Oncology Pipeline</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Bexobrutideg Global Collaboration with Roche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Nurix and Roche entered into the global collaboration to co-develop and co-commercialize bexobrutideg across malignant hematology, immunology and neurology, cleared the Hart-Scott-Rodino requirement, and began executing with the initiation of the Phase 3 DAYBreak CLL-306 study. The collaboration is designed to support Nurix's comprehensive clinical development strategy spanning multiple hematologic malignancies and expansion into immune-mediated diseases, including chronic spontaneous urticaria (CSU) and multiple sclerosis (MS). Under the agreement, development costs are shared 40% by Nurix and 60% by Roche; profits and losses in the United States will be shared equally; and Nurix is eligible to receive tiered royalties on ex-U.S. sales.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Bexobrutideg Registrational Development in CLL/SLL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Enrolled the first patient in DAYBreak CLL-306 (NCT07516093), the first Phase 3 trial of bexobrutideg. The global, randomized registrational study is designed to evaluate the potential superiority of bexobrutideg versus pirtobrutinib in approximately 620 patients with relapsed/refractory CLL/SLL whose disease has progressed following prior covalent BTK inhibitor therapy.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Patients in DAYBreak CLL-306 are randomized 1:1 to receive bexobrutideg 600 mg orally once daily or pirtobrutinib. The dual primary endpoints are objective response rate and progression-free survival, each assessed by an independent review committee. The study is designed to support global regulatory submissions.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Continued enrollment in DAYBreak CLL-201 (NCT07221500), the pivotal single-arm Phase 2 trial designed to support a potential Accelerated Approval submission in patients with relapsed/refractory CLL whose disease has progressed following treatment with a covalent BTK inhibitor, a BCL2 inhibitor and a non-covalent BTK inhibitor.</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Bexobrutideg Combination Development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Initiated recruiting for the Phase 1b/2 NX-5948-203 study (NCT07520006), which will evaluate bexobrutideg in combination with standard-of-care therapies in patients with CLL/SLL.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initial cohort is designed to evaluate bexobrutideg in combination with venetoclax.</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Bexobrutideg Clinical Data Presented at EHA 2026</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Presented updated Phase 1a results from the NX-5948-301 study in heavily pretreated relapsed/refractory CLL/SLL demonstrating a median progression-free survival of 22.1 months and an objective response rate of 83.0%. Responses were observed across patients with BTK inhibitor resistance mutations, high-risk molecular features and central nervous system involvement.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Presented new Phase 1b data supporting activity in earlier lines of therapy achieving an objective response rate of 92.9% in patients previously treated with a BTK inhibitor but naïve to BCL2 inhibitor therapy, with 18 of 19 patients remaining on treatment at the data cutoff. Among evaluable BTK inhibitor-naïve patients including treatment-naïve patients, the objective response rate was 84.2%, with 19 of 20 patients remaining on treatment at the data cutoff.</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Across 142 Phase 1a/1b CLL patients, bexobrutideg was well tolerated, consistent with prior disclosures. No dose-limiting toxicities or treatment-related Grade 5 adverse events were reported, and treatment discontinuations due to adverse events occurred in 5.6% of patients as of the January 1, 2026 data cutoff.</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Oncology Portfolio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Nurix advanced NX-1607, an oral CBL-B inhibitor, into Phase 1b monotherapy expansion cohorts and a Phase 1a combination cohort with pembrolizumab. Nurix enrolled its first patient in both the Phase 1b monotherapy expansion and Phase 1a combination cohorts in September 2026. The expansion cohorts will evaluate NX-1607 in patients with microsatellite stable colorectal cancer (MSS CRC), non-small cell lung cancer (NSCLC), metastatic castration-resistant prostate cancer (CRPC) and metastatic melanoma. Each tumor-specific cohort is planned to enroll approximately 30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Nurix announced the achievement of a $7 million milestone under the strategic collaboration with Pfizer.</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Nurix and Gilead agreed to extend the research term for one oncology program by an additional two years. Nurix will receive a one-time fee of $10.0 million in connection with the extension.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Nurix made the decision to discontinue further clinical development of NX-2127 (zelebrudomide) as part of a strategic prioritization of its wholly owned oncology portfolio. Patients currently receiving NX-2127 may continue treatment for as long as clinically appropriate. Nurix will conduct essential safety monitoring while patients remain on treatment, and each treating institution will provide follow-up under its standard of care.</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Immunology and Inflammation Pipeline</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Expansion of Bexobrutideg into Immunology and Neurology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Completed evaluation of bexobrutideg in a single-ascending-dose and multiple-ascending-dose study in healthy volunteers (NCT06717269) to support future development in immunology and neurology indications.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Immunology and Inflammation Collaboration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Sanofi initiated a Phase 1 first-in-human clinical trial of SAR448272/NX-3911, an oral STAT6 degrader being developed for type 2 inflammatory diseases, triggering a $10 million development milestone payment to Nurix. Following the milestone, Nurix has earned approximately $139 million under its collaboration with Sanofi and remains eligible to receive approximately $455 million in future development, regulatory and commercial milestone payments associated with the STAT6 program, in addition to potential royalties on future product sales. Nurix also retains an option to co-develop, co-promote and share profits and losses for the program equally in the United States following demonstration of clinical proof of concept.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Gilead continues to advance the IRAK4 degrader GS-6791 in an ongoing first-in-human Phase 1 study in healthy volunteers. Nurix retains the right to opt in after Phase 1 to a 50/50 U.S. profit share and co-development arrangement, subject to certain restrictions. </w:t>
      </w:r>
    </w:p>
    <w:p>
      <w:pPr>
        <w:pStyle w:val="TextBody"/>
        <w:bidi w:val="0"/>
        <w:spacing w:lineRule="auto" w:line="276"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timing of events throughout this press release is based on calendar year quarters.</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Fiscal Third Quarter 2026 Financial Results</w:t>
      </w:r>
    </w:p>
    <w:p>
      <w:pPr>
        <w:pStyle w:val="TextBody"/>
        <w:bidi w:val="0"/>
        <w:spacing w:lineRule="auto" w:line="276" w:before="120" w:after="283"/>
        <w:jc w:val="left"/>
        <w:rPr/>
      </w:pPr>
      <w:r>
        <w:rPr>
          <w:rFonts w:ascii="Times New Roman;serif" w:hAnsi="Times New Roman;serif"/>
          <w:b/>
          <w:color w:val="000000"/>
          <w:sz w:val="20"/>
        </w:rPr>
        <w:t xml:space="preserve">Revenue </w:t>
      </w:r>
      <w:r>
        <w:rPr>
          <w:rFonts w:ascii="Times New Roman;serif" w:hAnsi="Times New Roman;serif"/>
          <w:b w:val="false"/>
          <w:color w:val="000000"/>
          <w:sz w:val="20"/>
        </w:rPr>
        <w:t>for the three months ended August 31, 2026, was $673.1 million compared with $7.9 million for the three months ended August 31, 2025. The increase was primarily due to $653.2 million of license revenue from the collaboration with Roche and $10.0 million from the achievement of a development milestone from the collaboration with Sanofi.</w:t>
      </w:r>
    </w:p>
    <w:p>
      <w:pPr>
        <w:pStyle w:val="TextBody"/>
        <w:bidi w:val="0"/>
        <w:spacing w:lineRule="auto" w:line="276" w:before="120" w:after="283"/>
        <w:jc w:val="left"/>
        <w:rPr/>
      </w:pPr>
      <w:r>
        <w:rPr>
          <w:rFonts w:ascii="Times New Roman;serif" w:hAnsi="Times New Roman;serif"/>
          <w:b/>
          <w:color w:val="000000"/>
          <w:sz w:val="20"/>
        </w:rPr>
        <w:t xml:space="preserve">Research and development expenses </w:t>
      </w:r>
      <w:r>
        <w:rPr>
          <w:rFonts w:ascii="Times New Roman;serif" w:hAnsi="Times New Roman;serif"/>
          <w:b w:val="false"/>
          <w:color w:val="000000"/>
          <w:sz w:val="20"/>
        </w:rPr>
        <w:t>for the three months ended August 31, 2026, were $79.3 million compared with $86.1 million</w:t>
      </w:r>
      <w:r>
        <w:rPr>
          <w:color w:val="000000"/>
        </w:rPr>
        <w:t xml:space="preserve"> </w:t>
      </w:r>
      <w:r>
        <w:rPr>
          <w:rFonts w:ascii="Times New Roman;serif" w:hAnsi="Times New Roman;serif"/>
          <w:b w:val="false"/>
          <w:color w:val="000000"/>
          <w:sz w:val="20"/>
        </w:rPr>
        <w:t>for the three months ended August 31, 2025. The decrease was primarily due to the cost sharing offset related to the collaboration with Roche.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left"/>
        <w:rPr/>
      </w:pPr>
      <w:r>
        <w:rPr>
          <w:rFonts w:ascii="Times New Roman;serif" w:hAnsi="Times New Roman;serif"/>
          <w:b/>
          <w:color w:val="000000"/>
          <w:sz w:val="20"/>
        </w:rPr>
        <w:t xml:space="preserve">General and administrative expenses </w:t>
      </w:r>
      <w:r>
        <w:rPr>
          <w:rFonts w:ascii="Times New Roman;serif" w:hAnsi="Times New Roman;serif"/>
          <w:b w:val="false"/>
          <w:color w:val="000000"/>
          <w:sz w:val="20"/>
        </w:rPr>
        <w:t>for the three months ended August 31, 2026, were $34.4 million compared with $13.2 million for the three months ended August 31, 2025. The increase was primarily due to one-time expenses associated with the Roche transaction for consulting costs and business development activities.</w:t>
      </w:r>
    </w:p>
    <w:p>
      <w:pPr>
        <w:pStyle w:val="TextBody"/>
        <w:bidi w:val="0"/>
        <w:spacing w:lineRule="auto" w:line="276" w:before="120" w:after="283"/>
        <w:jc w:val="left"/>
        <w:rPr/>
      </w:pPr>
      <w:r>
        <w:rPr>
          <w:rFonts w:ascii="Times New Roman;serif" w:hAnsi="Times New Roman;serif"/>
          <w:b/>
          <w:color w:val="000000"/>
          <w:sz w:val="20"/>
        </w:rPr>
        <w:t xml:space="preserve">Net income </w:t>
      </w:r>
      <w:r>
        <w:rPr>
          <w:rFonts w:ascii="Times New Roman;serif" w:hAnsi="Times New Roman;serif"/>
          <w:b w:val="false"/>
          <w:color w:val="000000"/>
          <w:sz w:val="20"/>
        </w:rPr>
        <w:t>for the three months ended August 31, 2026, was $549.8 million, or $4.73 per diluted share, compared with net loss of $86.4 million, or ($1.03) per basic and diluted share, for the three months ended August 31, 2025.</w:t>
      </w:r>
    </w:p>
    <w:p>
      <w:pPr>
        <w:pStyle w:val="TextBody"/>
        <w:bidi w:val="0"/>
        <w:spacing w:lineRule="auto" w:line="276" w:before="120" w:after="283"/>
        <w:jc w:val="left"/>
        <w:rPr/>
      </w:pPr>
      <w:r>
        <w:rPr>
          <w:rFonts w:ascii="Times New Roman;serif" w:hAnsi="Times New Roman;serif"/>
          <w:b/>
          <w:color w:val="000000"/>
          <w:sz w:val="20"/>
        </w:rPr>
        <w:t>Cash, cash equivalents and marketable securities</w:t>
      </w:r>
      <w:r>
        <w:rPr>
          <w:color w:val="000000"/>
        </w:rPr>
        <w:t xml:space="preserve"> </w:t>
      </w:r>
      <w:r>
        <w:rPr>
          <w:rFonts w:ascii="Times New Roman;serif" w:hAnsi="Times New Roman;serif"/>
          <w:b w:val="false"/>
          <w:color w:val="000000"/>
          <w:sz w:val="20"/>
        </w:rPr>
        <w:t>were $1.1 billion as of August 31, 2026, compared with $592.9 million as of November 30, 2025.</w:t>
      </w:r>
    </w:p>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About Bexobrutideg (NX-5948)</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 is an investigational, orally bioavailable, brain-penetrant, highly selective small-molecule degrader of Bruton’s tyrosine kinase (BTK) being developed by Nurix and Roche across malignant hematology, immunology and neurology.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Bexobrutideg is currently being evaluated in a broad clinical development program in patients with CLL, including DAYBreak CLL-201 (NCT07221500), a pivotal single-arm Phase 2 study in relapsed/refractory CLL; DAYBreak CLL-306 (NCT07516093), a randomized Phase 3 trial comparing bexobrutideg with pirtobrutinib in relapsed/refractory CLL/SLL; NX-5948-203 (NCT07520006), a Phase 1b/2 study evaluating bexobrutideg in combination with venetoclax with or without an anti-CD20 antibody in relapsed/refractory and treatment-naïve CLL; and NX-5948-301 (NCT05131022), a Phase 1a/1b study in relapsed/refractory B-cell malignancies. Additional information about these clinical trials can be found at clinicaltrials.gov.</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About Nurix Therapeutics, Inc.</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Nurix Therapeutics is a clinical-stage biopharmaceutical company focused on the discovery, development and commercialization of targeted protein degradation medicines, a new frontier in drug discovery aimed at improving treatment options for patients with cancer and autoimmune diseases. Nurix’s clinical-stage oncology pipeline includes bexobrutideg, a degrader of BTK being co-developed with Roche, and NX-1607, an inhibitor of Casitas B-lineage lymphoma proto-oncogene B (CBL-B), an E3 ligase that regulates activation of multiple immune cell types including T cells and NK cells. Nurix’s autoimmune disease pipeline includes bexobrutideg in collaboration with Roche and clinical-stage degraders of IRAK4 in collaboration with Gilead and STAT6 in collaboration with Sanofi. Nurix is also advancing multiple potentially first-in-class or best-in-class degraders and degrader antibody conjugates in its wholly owned preclinical pipeline and under collaboration agreements with Gilead Sciences, Inc., Sanofi S.A. and Pfizer Inc., within which Nurix retains certain options for co-development, co-commercialization and profit sharing in the United States for multiple drug candidates. Powered by an AI-integrated discovery engine capable of tackling virtually any protein class, and coupled with unparalleled ligase expertise, Nurix’s dedicated team has built a formidable advantage in translating the science of targeted protein degradation into clinical advancements. Nurix aims to establish degrader-based treatments at the forefront of patient care, writing medicine’s next chapter with a new script to outmatch disease. Nurix is headquartered in Brisbane, California. For additional information, visit www.nurixtx.com.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statements that relate to future events and expectations and as such constitute forward-looking statements within the meaning of the Private Securities Litigation Reform Act of 1995. When or if used in this press release, the words “anticipate,” “believe,” “could,” “estimate,” “expect,” “intend,” “may,” “outlook,” “plan,” “predict,” “should,” “will,” and similar expressions and their variants, as they relate to Nurix, may identify forward-looking statements. All statements that reflect Nurix’s expectations, assumptions or projections about the future, other than statements of historical fact, are forward-looking statements, including, without limitation, statements regarding: Nurix’s future financial or business performance; Nurix’s future plans, prospects and strategies; Nurix’s plans and expectations with respect to its current and prospective drug candidates; Nurix's plans and expectations with respect to the clinical trials for its drug candidates; the tolerability, safety profile, therapeutic potential and other advantages of Nurix’s drug candidates; the planned timing and conduct of Nurix’s clinical trials; the planned timing for the provision of updates and findings from Nurix’s preclinical studies and clinical trials; and the potential benefits of and Nurix’s expectations with respect to its strategic collaborations. Forward-looking statements reflect Nurix’s current beliefs, expectations and assumptions. Although Nurix believes the expectations and assumptions reflected in such forward-looking statements are reasonable, Nurix can give no assurance that they will prove to be correct. Forward-looking statements are not guarantees of future performance and are subject to risks, uncertainties and changes in circumstances that are difficult to predict, which could cause Nurix’s actual activities and results to differ materially from those expressed in any forward-looking statement. Such risks and uncertainties include, but are not limited to: (i) whether Nurix and its collaborators will be able to advance drug candidates, obtain regulatory approval and ultimately commercialize drug candidates; (ii) uncertainties related to the timing and results of preclinical studies and clinical trials; (iii) the unexpected emergence of adverse events or other undesirable side effects during clinical development; (iv) whether Nurix will be able to fund development activities and achieve development goals, including its obligations under the Nurix-Roche collaboration; (v) uncertainties related to the timing and receipt of payments from Nurix’s collaboration partners, including milestone payments and royalties on future product sales; (vi) whether Nurix and Roche will be able to successfully co-commercialize bexobrutideg in the United States; (vii) whether Nurix will be able to protect its intellectual property; and (viii) other risks and uncertainties described under the heading “Risk Factors” in Nurix’s Quarterly Report on Form 10-Q for the fiscal quarter ended August 31, 2026, and other SEC filings. Accordingly, readers are cautioned not to place undue reliance on these forward-looking statements. The statements in this press release speak only as of the date of this press release, even if subsequently made available by Nurix on its website or otherwise. Nurix disclaims any intention or obligation to update publicly any forward-looking statements, whether in response to new information, future events, or otherwise, except as required by applicable law.</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Investors &amp; Media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Kris Fortner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Nurix Therapeutics, Inc.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kfortner@nurixtx.com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3"/>
        <w:gridCol w:w="1444"/>
        <w:gridCol w:w="1457"/>
        <w:gridCol w:w="211"/>
        <w:gridCol w:w="826"/>
        <w:gridCol w:w="109"/>
        <w:gridCol w:w="109"/>
        <w:gridCol w:w="109"/>
        <w:gridCol w:w="109"/>
        <w:gridCol w:w="211"/>
        <w:gridCol w:w="793"/>
        <w:gridCol w:w="109"/>
        <w:gridCol w:w="109"/>
        <w:gridCol w:w="109"/>
        <w:gridCol w:w="109"/>
        <w:gridCol w:w="211"/>
        <w:gridCol w:w="826"/>
        <w:gridCol w:w="109"/>
        <w:gridCol w:w="109"/>
        <w:gridCol w:w="109"/>
        <w:gridCol w:w="109"/>
        <w:gridCol w:w="211"/>
        <w:gridCol w:w="898"/>
        <w:gridCol w:w="156"/>
      </w:tblGrid>
      <w:tr>
        <w:trPr/>
        <w:tc>
          <w:tcPr>
            <w:tcW w:w="165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111,563,067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84,159,336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110,912,478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83,869,469</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diluted</w:t>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116,152,771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84,159,336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114,367,848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83,869,469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281" w:type="dxa"/>
        <w:jc w:val="center"/>
        <w:tblInd w:w="0" w:type="dxa"/>
        <w:tblLayout w:type="fixed"/>
        <w:tblCellMar>
          <w:top w:w="28" w:type="dxa"/>
          <w:left w:w="28" w:type="dxa"/>
          <w:bottom w:w="28" w:type="dxa"/>
          <w:right w:w="28" w:type="dxa"/>
        </w:tblCellMar>
      </w:tblPr>
      <w:tblGrid>
        <w:gridCol w:w="1605"/>
        <w:gridCol w:w="1415"/>
        <w:gridCol w:w="1434"/>
        <w:gridCol w:w="211"/>
        <w:gridCol w:w="976"/>
        <w:gridCol w:w="109"/>
        <w:gridCol w:w="109"/>
        <w:gridCol w:w="109"/>
        <w:gridCol w:w="109"/>
        <w:gridCol w:w="213"/>
        <w:gridCol w:w="837"/>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w:t>
              <w:noBreakHyphen/>
              <w:t>current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collaboration funding,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collaboration funding,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Stockholdersʼ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stockholdersʼ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stockholdersʼ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3055</Words>
  <Characters>18888</Characters>
  <CharactersWithSpaces>21765</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