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525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525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007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Wellington Biomedical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07/23/2020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4"/>
                <w:szCs w:val="24"/>
                <w:color w:val="0000EE"/>
                <w:w w:val="93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  <w:w w:val="93"/>
                </w:rPr>
                <w:t>Innovation Master Investors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Nurix Therapeutics,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.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NRIX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007" w:gutter="0" w:footer="0" w:header="0"/>
          <w:type w:val="continuous"/>
        </w:sectPr>
      </w:pPr>
    </w:p>
    <w:p>
      <w:pPr>
        <w:ind w:left="140"/>
        <w:spacing w:after="0"/>
        <w:rPr>
          <w:rFonts w:ascii="Arial" w:cs="Arial" w:eastAsia="Arial" w:hAnsi="Arial"/>
          <w:sz w:val="24"/>
          <w:szCs w:val="24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(Cayman) I L.P.</w:t>
        </w:r>
      </w:hyperlink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140" w:right="1337"/>
        <w:spacing w:after="0" w:line="3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WELLINGTON MANAGEMENT COMPANY LLP</w:t>
      </w: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280 CONGRESS STREET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BOSTON   MA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02210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5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007" w:gutter="0" w:footer="0" w:header="0"/>
          <w:type w:val="continuous"/>
        </w:sectPr>
      </w:pP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677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677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Series D Preferred Stock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784,313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-398780</wp:posOffset>
            </wp:positionV>
            <wp:extent cx="6927850" cy="2476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24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 w:right="200" w:firstLine="5"/>
        <w:spacing w:after="0" w:line="283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share of Series D Preferred Stock is convertible into one share of the Issuer's Common Stock. Upon the closing of the Issuer's initial public offering, all shares of Series D Preferred Stock will convert into the number of shares of Common Stock of the Issuer shown in column 3. The Series D Preferred Stock has no expiration date.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Wellington Biomedical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Innovation Master</w:t>
            </w:r>
          </w:p>
        </w:tc>
        <w:tc>
          <w:tcPr>
            <w:tcW w:w="380" w:type="dxa"/>
            <w:vAlign w:val="bottom"/>
            <w:gridSpan w:val="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5"/>
              </w:rPr>
              <w:t>Investors (Cayman) I L.P.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By: Wellington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07/23/2020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Management Company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LLP, as investment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advisor, /s/ Laura Martin,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Title: Authorized Person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00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0" Type="http://schemas.openxmlformats.org/officeDocument/2006/relationships/hyperlink" Target="http://www.sec.gov/cgi-bin/browse-edgar?action=getcompany&amp;CIK=0001787092" TargetMode="External"/><Relationship Id="rId11" Type="http://schemas.openxmlformats.org/officeDocument/2006/relationships/hyperlink" Target="http://www.sec.gov/cgi-bin/browse-edgar?action=getcompany&amp;CIK=00015495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2020-07-23T20:27:07Z</dcterms:created>
  <dcterms:modified xsi:type="dcterms:W3CDTF">2020-07-23T20:27:07Z</dcterms:modified>
</cp:coreProperties>
</file>