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739"/>
        <w:spacing w:after="0"/>
        <w:rPr>
          <w:sz w:val="20"/>
          <w:szCs w:val="20"/>
          <w:color w:val="auto"/>
        </w:rPr>
      </w:pPr>
      <w:r>
        <w:rPr>
          <w:rFonts w:ascii="Arial" w:cs="Arial" w:eastAsia="Arial" w:hAnsi="Arial"/>
          <w:sz w:val="32"/>
          <w:szCs w:val="32"/>
          <w:b w:val="1"/>
          <w:bCs w:val="1"/>
          <w:color w:val="auto"/>
        </w:rPr>
        <w:t>SECURITIES AND EXCHANGE COMMISSION</w:t>
      </w:r>
    </w:p>
    <w:p>
      <w:pPr>
        <w:ind w:left="41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720"/>
        <w:spacing w:after="0"/>
        <w:rPr>
          <w:sz w:val="20"/>
          <w:szCs w:val="20"/>
          <w:color w:val="auto"/>
        </w:rPr>
      </w:pPr>
      <w:r>
        <w:rPr>
          <w:rFonts w:ascii="Arial" w:cs="Arial" w:eastAsia="Arial" w:hAnsi="Arial"/>
          <w:sz w:val="32"/>
          <w:szCs w:val="32"/>
          <w:b w:val="1"/>
          <w:bCs w:val="1"/>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1160" w:right="1640"/>
        <w:spacing w:after="0" w:line="243" w:lineRule="auto"/>
        <w:rPr>
          <w:sz w:val="20"/>
          <w:szCs w:val="20"/>
          <w:color w:val="auto"/>
        </w:rPr>
      </w:pPr>
      <w:r>
        <w:rPr>
          <w:rFonts w:ascii="Arial" w:cs="Arial" w:eastAsia="Arial" w:hAnsi="Arial"/>
          <w:sz w:val="22"/>
          <w:szCs w:val="22"/>
          <w:b w:val="1"/>
          <w:bCs w:val="1"/>
          <w:color w:val="auto"/>
        </w:rPr>
        <w:t>FOR REGISTRATION OF CERTAIN CLASSES OF SECURITIES PURSUANT TO SECTION 12(b) OR (g) OF THE SECURITIES EXCHANGE ACT OF l934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215265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739"/>
        <w:spacing w:after="0"/>
        <w:rPr>
          <w:sz w:val="20"/>
          <w:szCs w:val="20"/>
          <w:color w:val="auto"/>
        </w:rPr>
      </w:pPr>
      <w:r>
        <w:rPr>
          <w:rFonts w:ascii="Arial" w:cs="Arial" w:eastAsia="Arial" w:hAnsi="Arial"/>
          <w:sz w:val="43"/>
          <w:szCs w:val="43"/>
          <w:b w:val="1"/>
          <w:bCs w:val="1"/>
          <w:color w:val="auto"/>
        </w:rPr>
        <w:t>NURIX THERAPEUTICS, INC.</w:t>
      </w:r>
    </w:p>
    <w:p>
      <w:pPr>
        <w:spacing w:after="0" w:line="50" w:lineRule="exact"/>
        <w:rPr>
          <w:sz w:val="24"/>
          <w:szCs w:val="24"/>
          <w:color w:val="auto"/>
        </w:rPr>
      </w:pPr>
    </w:p>
    <w:p>
      <w:pPr>
        <w:ind w:left="350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920" w:type="dxa"/>
        <w:tblCellMar>
          <w:top w:w="0" w:type="dxa"/>
          <w:left w:w="0" w:type="dxa"/>
          <w:bottom w:w="0" w:type="dxa"/>
          <w:right w:w="0" w:type="dxa"/>
        </w:tblCellMar>
      </w:tblPr>
      <w:tr>
        <w:trPr>
          <w:trHeight w:val="212"/>
        </w:trPr>
        <w:tc>
          <w:tcPr>
            <w:tcW w:w="1300" w:type="dxa"/>
            <w:vAlign w:val="bottom"/>
          </w:tcPr>
          <w:p>
            <w:pPr>
              <w:spacing w:after="0"/>
              <w:rPr>
                <w:sz w:val="18"/>
                <w:szCs w:val="18"/>
                <w:color w:val="auto"/>
              </w:rPr>
            </w:pPr>
          </w:p>
        </w:tc>
        <w:tc>
          <w:tcPr>
            <w:tcW w:w="3660" w:type="dxa"/>
            <w:vAlign w:val="bottom"/>
            <w:gridSpan w:val="2"/>
          </w:tcPr>
          <w:p>
            <w:pPr>
              <w:jc w:val="center"/>
              <w:ind w:right="2450"/>
              <w:spacing w:after="0"/>
              <w:rPr>
                <w:sz w:val="20"/>
                <w:szCs w:val="20"/>
                <w:color w:val="auto"/>
              </w:rPr>
            </w:pPr>
            <w:r>
              <w:rPr>
                <w:rFonts w:ascii="Arial" w:cs="Arial" w:eastAsia="Arial" w:hAnsi="Arial"/>
                <w:sz w:val="18"/>
                <w:szCs w:val="18"/>
                <w:b w:val="1"/>
                <w:bCs w:val="1"/>
                <w:color w:val="auto"/>
                <w:w w:val="91"/>
              </w:rPr>
              <w:t>Delaware</w:t>
            </w:r>
          </w:p>
        </w:tc>
        <w:tc>
          <w:tcPr>
            <w:tcW w:w="3480" w:type="dxa"/>
            <w:vAlign w:val="bottom"/>
            <w:gridSpan w:val="2"/>
          </w:tcPr>
          <w:p>
            <w:pPr>
              <w:jc w:val="right"/>
              <w:ind w:right="508"/>
              <w:spacing w:after="0"/>
              <w:rPr>
                <w:sz w:val="20"/>
                <w:szCs w:val="20"/>
                <w:color w:val="auto"/>
              </w:rPr>
            </w:pPr>
            <w:r>
              <w:rPr>
                <w:rFonts w:ascii="Arial" w:cs="Arial" w:eastAsia="Arial" w:hAnsi="Arial"/>
                <w:sz w:val="18"/>
                <w:szCs w:val="18"/>
                <w:b w:val="1"/>
                <w:bCs w:val="1"/>
                <w:color w:val="auto"/>
              </w:rPr>
              <w:t>27-0838048</w:t>
            </w:r>
          </w:p>
        </w:tc>
        <w:tc>
          <w:tcPr>
            <w:tcW w:w="200" w:type="dxa"/>
            <w:vAlign w:val="bottom"/>
          </w:tcPr>
          <w:p>
            <w:pPr>
              <w:spacing w:after="0"/>
              <w:rPr>
                <w:sz w:val="18"/>
                <w:szCs w:val="18"/>
                <w:color w:val="auto"/>
              </w:rPr>
            </w:pPr>
          </w:p>
        </w:tc>
      </w:tr>
      <w:tr>
        <w:trPr>
          <w:trHeight w:val="186"/>
        </w:trPr>
        <w:tc>
          <w:tcPr>
            <w:tcW w:w="4960" w:type="dxa"/>
            <w:vAlign w:val="bottom"/>
            <w:gridSpan w:val="3"/>
          </w:tcPr>
          <w:p>
            <w:pPr>
              <w:jc w:val="center"/>
              <w:ind w:right="1150"/>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3680" w:type="dxa"/>
            <w:vAlign w:val="bottom"/>
            <w:gridSpan w:val="3"/>
          </w:tcPr>
          <w:p>
            <w:pPr>
              <w:jc w:val="center"/>
              <w:ind w:left="1155"/>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399"/>
        </w:trPr>
        <w:tc>
          <w:tcPr>
            <w:tcW w:w="4960" w:type="dxa"/>
            <w:vAlign w:val="bottom"/>
            <w:gridSpan w:val="3"/>
          </w:tcPr>
          <w:p>
            <w:pPr>
              <w:jc w:val="center"/>
              <w:ind w:right="1170"/>
              <w:spacing w:after="0"/>
              <w:rPr>
                <w:sz w:val="20"/>
                <w:szCs w:val="20"/>
                <w:color w:val="auto"/>
              </w:rPr>
            </w:pPr>
            <w:r>
              <w:rPr>
                <w:rFonts w:ascii="Arial" w:cs="Arial" w:eastAsia="Arial" w:hAnsi="Arial"/>
                <w:sz w:val="18"/>
                <w:szCs w:val="18"/>
                <w:b w:val="1"/>
                <w:bCs w:val="1"/>
                <w:color w:val="auto"/>
                <w:w w:val="89"/>
              </w:rPr>
              <w:t>1700 Owens Street, Suite 205</w:t>
            </w:r>
          </w:p>
        </w:tc>
        <w:tc>
          <w:tcPr>
            <w:tcW w:w="14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25"/>
        </w:trPr>
        <w:tc>
          <w:tcPr>
            <w:tcW w:w="4960" w:type="dxa"/>
            <w:vAlign w:val="bottom"/>
            <w:gridSpan w:val="3"/>
          </w:tcPr>
          <w:p>
            <w:pPr>
              <w:jc w:val="center"/>
              <w:ind w:right="1150"/>
              <w:spacing w:after="0"/>
              <w:rPr>
                <w:sz w:val="20"/>
                <w:szCs w:val="20"/>
                <w:color w:val="auto"/>
              </w:rPr>
            </w:pPr>
            <w:r>
              <w:rPr>
                <w:rFonts w:ascii="Arial" w:cs="Arial" w:eastAsia="Arial" w:hAnsi="Arial"/>
                <w:sz w:val="18"/>
                <w:szCs w:val="18"/>
                <w:b w:val="1"/>
                <w:bCs w:val="1"/>
                <w:color w:val="auto"/>
                <w:w w:val="90"/>
              </w:rPr>
              <w:t>San Francisco, California</w:t>
            </w:r>
          </w:p>
        </w:tc>
        <w:tc>
          <w:tcPr>
            <w:tcW w:w="3480" w:type="dxa"/>
            <w:vAlign w:val="bottom"/>
            <w:gridSpan w:val="2"/>
          </w:tcPr>
          <w:p>
            <w:pPr>
              <w:jc w:val="right"/>
              <w:ind w:right="728"/>
              <w:spacing w:after="0"/>
              <w:rPr>
                <w:sz w:val="20"/>
                <w:szCs w:val="20"/>
                <w:color w:val="auto"/>
              </w:rPr>
            </w:pPr>
            <w:r>
              <w:rPr>
                <w:rFonts w:ascii="Arial" w:cs="Arial" w:eastAsia="Arial" w:hAnsi="Arial"/>
                <w:sz w:val="18"/>
                <w:szCs w:val="18"/>
                <w:b w:val="1"/>
                <w:bCs w:val="1"/>
                <w:color w:val="auto"/>
              </w:rPr>
              <w:t>94158</w:t>
            </w:r>
          </w:p>
        </w:tc>
        <w:tc>
          <w:tcPr>
            <w:tcW w:w="200" w:type="dxa"/>
            <w:vAlign w:val="bottom"/>
          </w:tcPr>
          <w:p>
            <w:pPr>
              <w:spacing w:after="0"/>
              <w:rPr>
                <w:sz w:val="19"/>
                <w:szCs w:val="19"/>
                <w:color w:val="auto"/>
              </w:rPr>
            </w:pPr>
          </w:p>
        </w:tc>
      </w:tr>
      <w:tr>
        <w:trPr>
          <w:trHeight w:val="186"/>
        </w:trPr>
        <w:tc>
          <w:tcPr>
            <w:tcW w:w="4960" w:type="dxa"/>
            <w:vAlign w:val="bottom"/>
            <w:gridSpan w:val="3"/>
          </w:tcPr>
          <w:p>
            <w:pPr>
              <w:jc w:val="center"/>
              <w:ind w:right="117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00" w:type="dxa"/>
            <w:vAlign w:val="bottom"/>
          </w:tcPr>
          <w:p>
            <w:pPr>
              <w:spacing w:after="0"/>
              <w:rPr>
                <w:sz w:val="16"/>
                <w:szCs w:val="16"/>
                <w:color w:val="auto"/>
              </w:rPr>
            </w:pPr>
          </w:p>
        </w:tc>
        <w:tc>
          <w:tcPr>
            <w:tcW w:w="22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(Zip Code)</w:t>
            </w:r>
          </w:p>
        </w:tc>
      </w:tr>
      <w:tr>
        <w:trPr>
          <w:trHeight w:val="417"/>
        </w:trPr>
        <w:tc>
          <w:tcPr>
            <w:tcW w:w="1300" w:type="dxa"/>
            <w:vAlign w:val="bottom"/>
          </w:tcPr>
          <w:p>
            <w:pPr>
              <w:spacing w:after="0"/>
              <w:rPr>
                <w:sz w:val="24"/>
                <w:szCs w:val="24"/>
                <w:color w:val="auto"/>
              </w:rPr>
            </w:pPr>
          </w:p>
        </w:tc>
        <w:tc>
          <w:tcPr>
            <w:tcW w:w="7340" w:type="dxa"/>
            <w:vAlign w:val="bottom"/>
            <w:gridSpan w:val="5"/>
          </w:tcPr>
          <w:p>
            <w:pPr>
              <w:ind w:left="880"/>
              <w:spacing w:after="0"/>
              <w:rPr>
                <w:sz w:val="20"/>
                <w:szCs w:val="20"/>
                <w:color w:val="auto"/>
              </w:rPr>
            </w:pPr>
            <w:r>
              <w:rPr>
                <w:rFonts w:ascii="Arial" w:cs="Arial" w:eastAsia="Arial" w:hAnsi="Arial"/>
                <w:sz w:val="18"/>
                <w:szCs w:val="18"/>
                <w:b w:val="1"/>
                <w:bCs w:val="1"/>
                <w:color w:val="auto"/>
              </w:rPr>
              <w:t>Securities to be registered pursuant to Section 12(b) of the Act:</w:t>
            </w:r>
          </w:p>
        </w:tc>
      </w:tr>
      <w:tr>
        <w:trPr>
          <w:trHeight w:val="369"/>
        </w:trPr>
        <w:tc>
          <w:tcPr>
            <w:tcW w:w="1300" w:type="dxa"/>
            <w:vAlign w:val="bottom"/>
          </w:tcPr>
          <w:p>
            <w:pPr>
              <w:spacing w:after="0"/>
              <w:rPr>
                <w:sz w:val="24"/>
                <w:szCs w:val="24"/>
                <w:color w:val="auto"/>
              </w:rPr>
            </w:pPr>
          </w:p>
        </w:tc>
        <w:tc>
          <w:tcPr>
            <w:tcW w:w="3660" w:type="dxa"/>
            <w:vAlign w:val="bottom"/>
            <w:gridSpan w:val="2"/>
          </w:tcPr>
          <w:p>
            <w:pPr>
              <w:jc w:val="center"/>
              <w:ind w:right="2450"/>
              <w:spacing w:after="0"/>
              <w:rPr>
                <w:sz w:val="20"/>
                <w:szCs w:val="20"/>
                <w:color w:val="auto"/>
              </w:rPr>
            </w:pPr>
            <w:r>
              <w:rPr>
                <w:rFonts w:ascii="Arial" w:cs="Arial" w:eastAsia="Arial" w:hAnsi="Arial"/>
                <w:sz w:val="14"/>
                <w:szCs w:val="14"/>
                <w:b w:val="1"/>
                <w:bCs w:val="1"/>
                <w:color w:val="auto"/>
                <w:w w:val="89"/>
              </w:rPr>
              <w:t>Title of each class</w:t>
            </w:r>
          </w:p>
        </w:tc>
        <w:tc>
          <w:tcPr>
            <w:tcW w:w="1400" w:type="dxa"/>
            <w:vAlign w:val="bottom"/>
          </w:tcPr>
          <w:p>
            <w:pPr>
              <w:spacing w:after="0"/>
              <w:rPr>
                <w:sz w:val="24"/>
                <w:szCs w:val="24"/>
                <w:color w:val="auto"/>
              </w:rPr>
            </w:pPr>
          </w:p>
        </w:tc>
        <w:tc>
          <w:tcPr>
            <w:tcW w:w="22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Name of each exchange on which</w:t>
            </w:r>
          </w:p>
        </w:tc>
      </w:tr>
      <w:tr>
        <w:trPr>
          <w:trHeight w:val="158"/>
        </w:trPr>
        <w:tc>
          <w:tcPr>
            <w:tcW w:w="1300" w:type="dxa"/>
            <w:vAlign w:val="bottom"/>
          </w:tcPr>
          <w:p>
            <w:pPr>
              <w:spacing w:after="0"/>
              <w:rPr>
                <w:sz w:val="13"/>
                <w:szCs w:val="13"/>
                <w:color w:val="auto"/>
              </w:rPr>
            </w:pPr>
          </w:p>
        </w:tc>
        <w:tc>
          <w:tcPr>
            <w:tcW w:w="112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9"/>
              </w:rPr>
              <w:t>to be so registered</w:t>
            </w:r>
          </w:p>
        </w:tc>
        <w:tc>
          <w:tcPr>
            <w:tcW w:w="25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8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8"/>
              </w:rPr>
              <w:t>each class is to be registered</w:t>
            </w:r>
          </w:p>
        </w:tc>
        <w:tc>
          <w:tcPr>
            <w:tcW w:w="200" w:type="dxa"/>
            <w:vAlign w:val="bottom"/>
          </w:tcPr>
          <w:p>
            <w:pPr>
              <w:spacing w:after="0"/>
              <w:rPr>
                <w:sz w:val="13"/>
                <w:szCs w:val="13"/>
                <w:color w:val="auto"/>
              </w:rPr>
            </w:pPr>
          </w:p>
        </w:tc>
      </w:tr>
      <w:tr>
        <w:trPr>
          <w:trHeight w:val="228"/>
        </w:trPr>
        <w:tc>
          <w:tcPr>
            <w:tcW w:w="2420" w:type="dxa"/>
            <w:vAlign w:val="bottom"/>
            <w:gridSpan w:val="2"/>
          </w:tcPr>
          <w:p>
            <w:pPr>
              <w:ind w:left="200"/>
              <w:spacing w:after="0"/>
              <w:rPr>
                <w:sz w:val="20"/>
                <w:szCs w:val="20"/>
                <w:color w:val="auto"/>
              </w:rPr>
            </w:pPr>
            <w:r>
              <w:rPr>
                <w:rFonts w:ascii="Arial" w:cs="Arial" w:eastAsia="Arial" w:hAnsi="Arial"/>
                <w:sz w:val="18"/>
                <w:szCs w:val="18"/>
                <w:b w:val="1"/>
                <w:bCs w:val="1"/>
                <w:color w:val="auto"/>
                <w:w w:val="93"/>
              </w:rPr>
              <w:t>Common Stock, par value $</w:t>
            </w:r>
          </w:p>
        </w:tc>
        <w:tc>
          <w:tcPr>
            <w:tcW w:w="2540" w:type="dxa"/>
            <w:vAlign w:val="bottom"/>
          </w:tcPr>
          <w:p>
            <w:pPr>
              <w:spacing w:after="0"/>
              <w:rPr>
                <w:sz w:val="20"/>
                <w:szCs w:val="20"/>
                <w:color w:val="auto"/>
              </w:rPr>
            </w:pPr>
            <w:r>
              <w:rPr>
                <w:rFonts w:ascii="Arial" w:cs="Arial" w:eastAsia="Arial" w:hAnsi="Arial"/>
                <w:sz w:val="18"/>
                <w:szCs w:val="18"/>
                <w:b w:val="1"/>
                <w:bCs w:val="1"/>
                <w:color w:val="auto"/>
              </w:rPr>
              <w:t>0.001 per share</w:t>
            </w:r>
          </w:p>
        </w:tc>
        <w:tc>
          <w:tcPr>
            <w:tcW w:w="3680" w:type="dxa"/>
            <w:vAlign w:val="bottom"/>
            <w:gridSpan w:val="3"/>
          </w:tcPr>
          <w:p>
            <w:pPr>
              <w:jc w:val="center"/>
              <w:ind w:left="1155"/>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A.(c) or (e),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effective pursuant to General Instruction A.(d) or (e), check the following box.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7"/>
          <w:szCs w:val="17"/>
          <w:color w:val="auto"/>
        </w:rPr>
        <w:t>Securities Act registration statement or Regulation A offering statement file number to which this form relates: 333- 239651 (if applicable)</w:t>
      </w: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color w:val="auto"/>
        </w:rPr>
        <w:t>Securities to be registered pursuant to Section 12(g) of the Act:</w:t>
      </w:r>
    </w:p>
    <w:p>
      <w:pPr>
        <w:spacing w:after="0" w:line="221" w:lineRule="exact"/>
        <w:rPr>
          <w:sz w:val="24"/>
          <w:szCs w:val="24"/>
          <w:color w:val="auto"/>
        </w:rPr>
      </w:pPr>
    </w:p>
    <w:p>
      <w:pPr>
        <w:jc w:val="center"/>
        <w:ind w:right="-739"/>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ind w:left="5060"/>
        <w:spacing w:after="0"/>
        <w:rPr>
          <w:sz w:val="20"/>
          <w:szCs w:val="20"/>
          <w:color w:val="auto"/>
        </w:rPr>
      </w:pPr>
      <w:r>
        <w:rPr>
          <w:rFonts w:ascii="Arial" w:cs="Arial" w:eastAsia="Arial" w:hAnsi="Arial"/>
          <w:sz w:val="14"/>
          <w:szCs w:val="14"/>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142240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184785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280"/>
          </w:cols>
          <w:pgMar w:left="440" w:top="368" w:right="1179" w:bottom="1440" w:gutter="0" w:footer="0" w:header="0"/>
        </w:sectPr>
      </w:pPr>
    </w:p>
    <w:bookmarkStart w:id="1" w:name="page2"/>
    <w:bookmarkEnd w:id="1"/>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INFORMATION REQUIRED IN REGISTRATION STATEMENT</w:t>
      </w:r>
    </w:p>
    <w:p>
      <w:pPr>
        <w:spacing w:after="0" w:line="37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Description of Registrant’s Securities to be Registered.</w:t>
      </w:r>
    </w:p>
    <w:p>
      <w:pPr>
        <w:spacing w:after="0" w:line="121" w:lineRule="exact"/>
        <w:rPr>
          <w:sz w:val="20"/>
          <w:szCs w:val="20"/>
          <w:color w:val="auto"/>
        </w:rPr>
      </w:pPr>
    </w:p>
    <w:p>
      <w:pPr>
        <w:ind w:right="120" w:firstLine="440"/>
        <w:spacing w:after="0" w:line="291" w:lineRule="auto"/>
        <w:rPr>
          <w:sz w:val="20"/>
          <w:szCs w:val="20"/>
          <w:color w:val="auto"/>
        </w:rPr>
      </w:pPr>
      <w:r>
        <w:rPr>
          <w:rFonts w:ascii="Arial" w:cs="Arial" w:eastAsia="Arial" w:hAnsi="Arial"/>
          <w:sz w:val="16"/>
          <w:szCs w:val="16"/>
          <w:color w:val="auto"/>
        </w:rPr>
        <w:t>Nurix Therapeutics, Inc. (the “</w:t>
      </w:r>
      <w:r>
        <w:rPr>
          <w:rFonts w:ascii="Arial" w:cs="Arial" w:eastAsia="Arial" w:hAnsi="Arial"/>
          <w:sz w:val="16"/>
          <w:szCs w:val="16"/>
          <w:b w:val="1"/>
          <w:bCs w:val="1"/>
          <w:i w:val="1"/>
          <w:iCs w:val="1"/>
          <w:color w:val="auto"/>
        </w:rPr>
        <w:t>Registrant</w:t>
      </w:r>
      <w:r>
        <w:rPr>
          <w:rFonts w:ascii="Arial" w:cs="Arial" w:eastAsia="Arial" w:hAnsi="Arial"/>
          <w:sz w:val="16"/>
          <w:szCs w:val="16"/>
          <w:color w:val="auto"/>
        </w:rPr>
        <w:t>”) hereby incorporates by reference the description of its common stock, par value $0.001 per share, to be registered hereunder contained under the heading “Description of capital stock” in the Registrant’s Registration Statement on Form S-1 (File</w:t>
      </w:r>
    </w:p>
    <w:p>
      <w:pPr>
        <w:ind w:right="20"/>
        <w:spacing w:after="0" w:line="302" w:lineRule="auto"/>
        <w:rPr>
          <w:sz w:val="20"/>
          <w:szCs w:val="20"/>
          <w:color w:val="auto"/>
        </w:rPr>
      </w:pPr>
      <w:r>
        <w:rPr>
          <w:rFonts w:ascii="Arial" w:cs="Arial" w:eastAsia="Arial" w:hAnsi="Arial"/>
          <w:sz w:val="16"/>
          <w:szCs w:val="16"/>
          <w:color w:val="auto"/>
        </w:rPr>
        <w:t>No. 333-239651), as originally filed with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on July 2, 2020, as subsequently amended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and in the prospectus included in the Registration Statement to be filed separately by the Registrant with the Commission pursuant to Rule 424(b) under the Securities Act of 1933, as amended, which prospectus shall be deemed to be incorporated by reference herein.</w:t>
      </w:r>
    </w:p>
    <w:p>
      <w:pPr>
        <w:spacing w:after="0" w:line="30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In accordance with the “Instructions as to Exhibits” with respect to Form 8-A, no exhibits are required to be filed as part of this registration statement because no other securities of the Registrant are registered on The Nasdaq Stock Market LLC and the securities registered hereby are not being registered pursuant to Section 12(g) of the Securities Exchange Act of 1934, as amended.</w:t>
      </w:r>
    </w:p>
    <w:p>
      <w:pPr>
        <w:sectPr>
          <w:pgSz w:w="11900" w:h="16838" w:orient="portrait"/>
          <w:cols w:equalWidth="0" w:num="1">
            <w:col w:w="10920"/>
          </w:cols>
          <w:pgMar w:left="440" w:top="270" w:right="539" w:bottom="1440" w:gutter="0" w:footer="0" w:header="0"/>
        </w:sectPr>
      </w:pPr>
    </w:p>
    <w:bookmarkStart w:id="2" w:name="page3"/>
    <w:bookmarkEnd w:id="2"/>
    <w:p>
      <w:pPr>
        <w:jc w:val="center"/>
        <w:ind w:right="-5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229"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as amended, the Registrant has duly caused this registration statement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July 20, 2020</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NURIX THERAPEUTICS,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Arthur T. 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Arthur T. Sands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President and Chief Executive Officer</w:t>
      </w:r>
    </w:p>
    <w:sectPr>
      <w:pgSz w:w="11900" w:h="16838" w:orient="portrait"/>
      <w:cols w:equalWidth="0" w:num="1">
        <w:col w:w="10440"/>
      </w:cols>
      <w:pgMar w:left="440" w:top="270" w:right="10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2020-07-20T13:35:14Z</dcterms:created>
  <dcterms:modified xsi:type="dcterms:W3CDTF">2020-07-20T13:35:14Z</dcterms:modified>
</cp:coreProperties>
</file>