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Nurix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Rubric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7,227,778.00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7,227,778.00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7,227,778.00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Rosen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7,227,778.00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7,227,778.00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7,227,778.00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Nurix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1600 Sierra Point Parkway, Brisbane, CA 94005</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Rubric Capital Management LP ("Rubric Capital"), the investment adviser to certain investment funds and/or accounts (collectively, the "Rubric Funds") that hold the shares of Common Stock, $0.001 par value per share (the "Common Stock") of Nurix Therapeutics, Inc., a Delaware corporation (the "Issuer") reported herein; and (ii) David Rosen ("Mr. Rosen"), Managing Member of Rubric Capital Management GP LLC, the general partner of Rubric Capital. The foregoing persons are hereinafter sometimes collectively referred to as the "Reporting Persons." The filing of this statement should not be construed as an admission that any of the forgoing persons or any Reporting Person is, for the purposes of Section 13 of the Act,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155 East 44th St, Suite 1630,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Rubric Capital is a Delaware limited partnership. Mr. Rosen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is set forth in Rows 9 of the cover page for each of the Reporting Persons and is incorporated herein by reference. The percentage set forth in Row (11) of the cover page for each of the Reporting Persons and in Item 4(b) is based on 103,781,683 shares Common Stock outstanding as of June 30, 2026, as reported in the Issuer's Quarterly Report on Form 10-Q for the quarterly period ended May 31, 2026 filed with the Securities and Exchange Commission on July 9, 2026.</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6.96  %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Rubric Capital Master Fund LP, a Rubric Fund, has the right to receive or the power to direct the receipt of dividends from, or the proceeds from the sale of, more than 5% of the Common Stock.</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Rubric Capital Management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Michael Nachmani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Michael Nachmani / Chief Operating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David Rosen</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9"/>
        <w:gridCol w:w="4216"/>
      </w:tblGrid>
      <w:tr>
        <w:trPr/>
        <w:tc>
          <w:tcPr>
            <w:tcW w:w="59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David Rosen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David Rosen / Individually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16"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0" w:name="tm2621100d5_ex99-1.htm"/>
      <w:bookmarkStart w:id="21" w:name="kstm2621100d5_ex991"/>
      <w:bookmarkEnd w:id="20"/>
      <w:bookmarkEnd w:id="21"/>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br/>
        <w:t>PURSUANT TO RULE 13d-1(k)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08/14/2026</w:t>
      </w:r>
    </w:p>
    <w:p>
      <w:pPr>
        <w:pStyle w:val="TextBody"/>
        <w:bidi w:val="0"/>
        <w:spacing w:before="0" w:after="0"/>
        <w:ind w:left="0" w:right="0" w:hanging="0"/>
        <w:jc w:val="left"/>
        <w:rPr>
          <w:caps w:val="false"/>
          <w:smallCaps w:val="false"/>
        </w:rPr>
      </w:pPr>
      <w:r>
        <w:rPr>
          <w:caps w:val="false"/>
          <w:smallCaps w:val="false"/>
        </w:rPr>
        <w:t> </w:t>
      </w:r>
    </w:p>
    <w:tbl>
      <w:tblPr>
        <w:tblW w:w="3574" w:type="dxa"/>
        <w:jc w:val="left"/>
        <w:tblInd w:w="0" w:type="dxa"/>
        <w:tblLayout w:type="fixed"/>
        <w:tblCellMar>
          <w:top w:w="0" w:type="dxa"/>
          <w:left w:w="0" w:type="dxa"/>
          <w:bottom w:w="0" w:type="dxa"/>
          <w:right w:w="0" w:type="dxa"/>
        </w:tblCellMar>
      </w:tblPr>
      <w:tblGrid>
        <w:gridCol w:w="788"/>
        <w:gridCol w:w="2711"/>
        <w:gridCol w:w="75"/>
      </w:tblGrid>
      <w:tr>
        <w:trPr/>
        <w:tc>
          <w:tcPr>
            <w:tcW w:w="34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RUBRIC CAPITAL MANAGEMENT LP</w:t>
            </w:r>
          </w:p>
        </w:tc>
        <w:tc>
          <w:tcPr>
            <w:tcW w:w="75" w:type="dxa"/>
            <w:tcBorders/>
            <w:vAlign w:val="center"/>
          </w:tcPr>
          <w:p>
            <w:pPr>
              <w:pStyle w:val="TableContents"/>
              <w:bidi w:val="0"/>
              <w:spacing w:before="0" w:after="283"/>
              <w:jc w:val="left"/>
              <w:rPr/>
            </w:pPr>
            <w:r>
              <w:rPr/>
              <w:t> </w:t>
            </w:r>
          </w:p>
        </w:tc>
      </w:tr>
      <w:tr>
        <w:trPr/>
        <w:tc>
          <w:tcPr>
            <w:tcW w:w="34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1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Nachmani</w:t>
            </w:r>
          </w:p>
        </w:tc>
        <w:tc>
          <w:tcPr>
            <w:tcW w:w="75" w:type="dxa"/>
            <w:tcBorders/>
            <w:vAlign w:val="center"/>
          </w:tcPr>
          <w:p>
            <w:pPr>
              <w:pStyle w:val="TableContents"/>
              <w:bidi w:val="0"/>
              <w:spacing w:before="0" w:after="283"/>
              <w:jc w:val="left"/>
              <w:rPr/>
            </w:pPr>
            <w:r>
              <w:rPr/>
              <w:t> </w:t>
            </w:r>
          </w:p>
        </w:tc>
      </w:tr>
      <w:tr>
        <w:trPr/>
        <w:tc>
          <w:tcPr>
            <w:tcW w:w="7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Nachmani</w:t>
            </w:r>
          </w:p>
        </w:tc>
        <w:tc>
          <w:tcPr>
            <w:tcW w:w="75" w:type="dxa"/>
            <w:tcBorders/>
            <w:vAlign w:val="center"/>
          </w:tcPr>
          <w:p>
            <w:pPr>
              <w:pStyle w:val="TableContents"/>
              <w:bidi w:val="0"/>
              <w:spacing w:before="0" w:after="283"/>
              <w:jc w:val="left"/>
              <w:rPr/>
            </w:pPr>
            <w:r>
              <w:rPr/>
              <w:t> </w:t>
            </w:r>
          </w:p>
        </w:tc>
      </w:tr>
      <w:tr>
        <w:trPr/>
        <w:tc>
          <w:tcPr>
            <w:tcW w:w="7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w:t>
            </w:r>
          </w:p>
        </w:tc>
        <w:tc>
          <w:tcPr>
            <w:tcW w:w="75" w:type="dxa"/>
            <w:tcBorders/>
            <w:vAlign w:val="center"/>
          </w:tcPr>
          <w:p>
            <w:pPr>
              <w:pStyle w:val="TableContents"/>
              <w:bidi w:val="0"/>
              <w:spacing w:before="0" w:after="283"/>
              <w:jc w:val="left"/>
              <w:rPr/>
            </w:pPr>
            <w:r>
              <w:rPr/>
              <w:t> </w:t>
            </w:r>
          </w:p>
        </w:tc>
      </w:tr>
      <w:tr>
        <w:trPr/>
        <w:tc>
          <w:tcPr>
            <w:tcW w:w="34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49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Rosen</w:t>
            </w:r>
          </w:p>
        </w:tc>
        <w:tc>
          <w:tcPr>
            <w:tcW w:w="75" w:type="dxa"/>
            <w:tcBorders/>
            <w:vAlign w:val="center"/>
          </w:tcPr>
          <w:p>
            <w:pPr>
              <w:pStyle w:val="TableContents"/>
              <w:bidi w:val="0"/>
              <w:spacing w:before="0" w:after="283"/>
              <w:jc w:val="left"/>
              <w:rPr/>
            </w:pPr>
            <w:r>
              <w:rPr/>
              <w:t> </w:t>
            </w:r>
          </w:p>
        </w:tc>
      </w:tr>
      <w:tr>
        <w:trPr/>
        <w:tc>
          <w:tcPr>
            <w:tcW w:w="34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ROSEN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1491</Words>
  <Characters>7553</Characters>
  <CharactersWithSpaces>9019</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