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Lacey David 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07/23/2020</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6"/>
              </w:rPr>
              <w:t>C/O NURIX THERAPEUTICS,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5"/>
              </w:rPr>
              <w:t>1700 OWENS STREET, SUITE 205</w:t>
            </w:r>
          </w:p>
        </w:tc>
      </w:tr>
      <w:tr>
        <w:trPr>
          <w:trHeight w:val="177"/>
        </w:trPr>
        <w:tc>
          <w:tcPr>
            <w:tcW w:w="7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94158</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Nurix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NRIX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41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0000FF"/>
              </w:rPr>
              <w:t>33,333</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6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30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50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w w:val="96"/>
              </w:rPr>
              <w:t>Director 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05/27/2030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66,666</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9.57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-1818640</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15" w:lineRule="exact"/>
        <w:rPr>
          <w:sz w:val="24"/>
          <w:szCs w:val="24"/>
          <w:color w:val="auto"/>
        </w:rPr>
      </w:pPr>
    </w:p>
    <w:p>
      <w:pPr>
        <w:ind w:left="40" w:right="50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stock option vests as to 1/48 of the total shares monthly beginning May 28, 2020 until the option is fully vested on April 28, 2024, subject to the Reporting Person's provision of service to the Issuer on each vesting date. The option contains an early-exercise provision and is exercisable as to unvested shares, subject to the Issuer's right of repurchase.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Christine Ring,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388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886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David 07/23/2020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Lacey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022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226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Christine Ring and Hans van Houte, as long as they are providing services to Nurix Therapeutics, Inc. or its related entities (the "Company"), or either of them, the undersigned's true and lawful attorney-in-fact to:</w:t>
      </w:r>
    </w:p>
    <w:p>
      <w:pPr>
        <w:spacing w:after="0" w:line="231" w:lineRule="exact"/>
        <w:rPr>
          <w:sz w:val="20"/>
          <w:szCs w:val="20"/>
          <w:color w:val="auto"/>
        </w:rPr>
      </w:pPr>
    </w:p>
    <w:p>
      <w:pPr>
        <w:ind w:right="259"/>
        <w:spacing w:after="0" w:line="264" w:lineRule="auto"/>
        <w:tabs>
          <w:tab w:leader="none" w:pos="93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w:t>
      </w:r>
    </w:p>
    <w:p>
      <w:pPr>
        <w:spacing w:after="0" w:line="1" w:lineRule="exact"/>
        <w:rPr>
          <w:rFonts w:ascii="Courier New" w:cs="Courier New" w:eastAsia="Courier New" w:hAnsi="Courier New"/>
          <w:sz w:val="18"/>
          <w:szCs w:val="18"/>
          <w:color w:val="auto"/>
        </w:rPr>
      </w:pPr>
    </w:p>
    <w:p>
      <w:pPr>
        <w:ind w:right="13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with Section 16(a) of the Securities Exchange Act of 1934, as amended (the "Exchange Act"), and the rules and regulations thereunder;</w:t>
      </w:r>
    </w:p>
    <w:p>
      <w:pPr>
        <w:spacing w:after="0" w:line="229" w:lineRule="exact"/>
        <w:rPr>
          <w:rFonts w:ascii="Courier New" w:cs="Courier New" w:eastAsia="Courier New" w:hAnsi="Courier New"/>
          <w:sz w:val="18"/>
          <w:szCs w:val="18"/>
          <w:color w:val="auto"/>
        </w:rPr>
      </w:pPr>
    </w:p>
    <w:p>
      <w:pPr>
        <w:ind w:right="499"/>
        <w:spacing w:after="0" w:line="237" w:lineRule="auto"/>
        <w:tabs>
          <w:tab w:leader="none" w:pos="937"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p>
    <w:p>
      <w:pPr>
        <w:spacing w:after="0" w:line="230"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David Lacey</w:t>
      </w:r>
    </w:p>
    <w:p>
      <w:pPr>
        <w:spacing w:after="0" w:line="238" w:lineRule="auto"/>
        <w:rPr>
          <w:sz w:val="20"/>
          <w:szCs w:val="20"/>
          <w:color w:val="auto"/>
        </w:rPr>
      </w:pPr>
      <w:r>
        <w:rPr>
          <w:rFonts w:ascii="Courier New" w:cs="Courier New" w:eastAsia="Courier New" w:hAnsi="Courier New"/>
          <w:sz w:val="20"/>
          <w:szCs w:val="20"/>
          <w:color w:val="auto"/>
        </w:rPr>
        <w:t>Name: David Lacey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734422" TargetMode="External"/><Relationship Id="rId11"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2020-07-23T17:54:10Z</dcterms:created>
  <dcterms:modified xsi:type="dcterms:W3CDTF">2020-07-23T17:54:10Z</dcterms:modified>
</cp:coreProperties>
</file>