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GREGORY JULIA 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07/23/2020</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6"/>
              </w:rPr>
              <w:t>C/O NURIX THERAPEUTICS,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5"/>
              </w:rPr>
              <w:t>1700 OWENS STREET, SUITE 205</w:t>
            </w:r>
          </w:p>
        </w:tc>
      </w:tr>
      <w:tr>
        <w:trPr>
          <w:trHeight w:val="177"/>
        </w:trPr>
        <w:tc>
          <w:tcPr>
            <w:tcW w:w="7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780" w:type="dxa"/>
            <w:vAlign w:val="bottom"/>
          </w:tcPr>
          <w:p>
            <w:pPr>
              <w:ind w:left="40"/>
              <w:spacing w:after="0" w:line="211" w:lineRule="exact"/>
              <w:rPr>
                <w:sz w:val="20"/>
                <w:szCs w:val="20"/>
                <w:color w:val="auto"/>
              </w:rPr>
            </w:pPr>
            <w:r>
              <w:rPr>
                <w:rFonts w:ascii="Arial" w:cs="Arial" w:eastAsia="Arial" w:hAnsi="Arial"/>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09"/>
        </w:trPr>
        <w:tc>
          <w:tcPr>
            <w:tcW w:w="178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320" w:type="dxa"/>
            <w:vAlign w:val="bottom"/>
          </w:tcPr>
          <w:p>
            <w:pPr>
              <w:jc w:val="right"/>
              <w:ind w:right="394"/>
              <w:spacing w:after="0"/>
              <w:rPr>
                <w:sz w:val="20"/>
                <w:szCs w:val="20"/>
                <w:color w:val="auto"/>
              </w:rPr>
            </w:pPr>
            <w:r>
              <w:rPr>
                <w:rFonts w:ascii="Arial" w:cs="Arial" w:eastAsia="Arial" w:hAnsi="Arial"/>
                <w:sz w:val="20"/>
                <w:szCs w:val="20"/>
                <w:color w:val="0000FF"/>
              </w:rPr>
              <w:t>94158</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Nurix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NRIX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41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92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246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w w:val="96"/>
              </w:rPr>
              <w:t>Director 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12/22/2029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33,333</w:t>
            </w:r>
          </w:p>
        </w:tc>
        <w:tc>
          <w:tcPr>
            <w:tcW w:w="980" w:type="dxa"/>
            <w:vAlign w:val="bottom"/>
          </w:tcPr>
          <w:p>
            <w:pPr>
              <w:ind w:left="320"/>
              <w:spacing w:after="0"/>
              <w:rPr>
                <w:sz w:val="20"/>
                <w:szCs w:val="20"/>
                <w:color w:val="auto"/>
              </w:rPr>
            </w:pPr>
            <w:r>
              <w:rPr>
                <w:rFonts w:ascii="Arial" w:cs="Arial" w:eastAsia="Arial" w:hAnsi="Arial"/>
                <w:sz w:val="20"/>
                <w:szCs w:val="20"/>
                <w:color w:val="0000FF"/>
              </w:rPr>
              <w:t>1.86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w w:val="96"/>
              </w:rPr>
              <w:t>Director 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05/27/2030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18,333</w:t>
            </w:r>
          </w:p>
        </w:tc>
        <w:tc>
          <w:tcPr>
            <w:tcW w:w="980" w:type="dxa"/>
            <w:vAlign w:val="bottom"/>
          </w:tcPr>
          <w:p>
            <w:pPr>
              <w:ind w:left="320"/>
              <w:spacing w:after="0"/>
              <w:rPr>
                <w:sz w:val="20"/>
                <w:szCs w:val="20"/>
                <w:color w:val="auto"/>
              </w:rPr>
            </w:pPr>
            <w:r>
              <w:rPr>
                <w:rFonts w:ascii="Arial" w:cs="Arial" w:eastAsia="Arial" w:hAnsi="Arial"/>
                <w:sz w:val="20"/>
                <w:szCs w:val="20"/>
                <w:color w:val="0000FF"/>
              </w:rPr>
              <w:t>9.57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-646430</wp:posOffset>
            </wp:positionV>
            <wp:extent cx="6927850" cy="49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95300"/>
                    </a:xfrm>
                    <a:prstGeom prst="rect">
                      <a:avLst/>
                    </a:prstGeom>
                    <a:noFill/>
                  </pic:spPr>
                </pic:pic>
              </a:graphicData>
            </a:graphic>
          </wp:anchor>
        </w:drawing>
      </w:r>
    </w:p>
    <w:p>
      <w:pPr>
        <w:spacing w:after="0" w:line="15" w:lineRule="exact"/>
        <w:rPr>
          <w:sz w:val="24"/>
          <w:szCs w:val="24"/>
          <w:color w:val="auto"/>
        </w:rPr>
      </w:pPr>
    </w:p>
    <w:p>
      <w:pPr>
        <w:ind w:left="40" w:right="16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stock option vests as to 1/48 of the total shares monthly beginning September 12, 2019 until the option is fully vested on August 12, 2023, subject to the Reporting Person's provision of service to the Issuer on each vesting date. The option contains an early-exercise provision and is exercisable as to unvested shares, subject to the Issuer's right of repurchase.</w:t>
      </w:r>
    </w:p>
    <w:p>
      <w:pPr>
        <w:spacing w:after="0" w:line="35" w:lineRule="exact"/>
        <w:rPr>
          <w:rFonts w:ascii="Arial" w:cs="Arial" w:eastAsia="Arial" w:hAnsi="Arial"/>
          <w:sz w:val="15"/>
          <w:szCs w:val="15"/>
          <w:color w:val="008000"/>
        </w:rPr>
      </w:pPr>
    </w:p>
    <w:p>
      <w:pPr>
        <w:ind w:left="40" w:right="50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stock option vests as to 1/48 of the total shares monthly beginning May 28, 2020 until the option is fully vested on April 28, 2024, subject to the Reporting Person's provision of service to the Issuer on each vesting date. The option contains an early-exercise provision and is exercisable as to unvested shares, subject to the Issuer's right of repurchase.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00" w:type="dxa"/>
            <w:vAlign w:val="bottom"/>
            <w:gridSpan w:val="3"/>
          </w:tcPr>
          <w:p>
            <w:pPr>
              <w:spacing w:after="0"/>
              <w:rPr>
                <w:sz w:val="20"/>
                <w:szCs w:val="20"/>
                <w:color w:val="auto"/>
              </w:rPr>
            </w:pPr>
            <w:r>
              <w:rPr>
                <w:rFonts w:ascii="Arial" w:cs="Arial" w:eastAsia="Arial" w:hAnsi="Arial"/>
                <w:sz w:val="20"/>
                <w:szCs w:val="20"/>
                <w:color w:val="0000FF"/>
              </w:rPr>
              <w:t>/s/ Christine Ring, as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2"/>
              </w:rPr>
              <w:t>Attorney-in-Fact for Julia  07/23/2020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0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P. Gregory</w:t>
            </w: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0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Christine Ring and Hans van Houte, as long as they are providing services to Nurix Therapeutics, Inc. or its related entities (the "Company"), or either of them, the undersigned's true and lawful attorney-in-fact to:</w:t>
      </w:r>
    </w:p>
    <w:p>
      <w:pPr>
        <w:spacing w:after="0" w:line="231" w:lineRule="exact"/>
        <w:rPr>
          <w:sz w:val="20"/>
          <w:szCs w:val="20"/>
          <w:color w:val="auto"/>
        </w:rPr>
      </w:pPr>
    </w:p>
    <w:p>
      <w:pPr>
        <w:ind w:right="259"/>
        <w:spacing w:after="0" w:line="264" w:lineRule="auto"/>
        <w:tabs>
          <w:tab w:leader="none" w:pos="93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in accordance</w:t>
      </w:r>
    </w:p>
    <w:p>
      <w:pPr>
        <w:spacing w:after="0" w:line="1" w:lineRule="exact"/>
        <w:rPr>
          <w:rFonts w:ascii="Courier New" w:cs="Courier New" w:eastAsia="Courier New" w:hAnsi="Courier New"/>
          <w:sz w:val="18"/>
          <w:szCs w:val="18"/>
          <w:color w:val="auto"/>
        </w:rPr>
      </w:pPr>
    </w:p>
    <w:p>
      <w:pPr>
        <w:ind w:right="131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with Section 16(a) of the Securities Exchange Act of 1934, as amended (the "Exchange Act"), and the rules and regulations thereunder;</w:t>
      </w:r>
    </w:p>
    <w:p>
      <w:pPr>
        <w:spacing w:after="0" w:line="229" w:lineRule="exact"/>
        <w:rPr>
          <w:rFonts w:ascii="Courier New" w:cs="Courier New" w:eastAsia="Courier New" w:hAnsi="Courier New"/>
          <w:sz w:val="18"/>
          <w:szCs w:val="18"/>
          <w:color w:val="auto"/>
        </w:rPr>
      </w:pPr>
    </w:p>
    <w:p>
      <w:pPr>
        <w:ind w:right="499"/>
        <w:spacing w:after="0" w:line="237" w:lineRule="auto"/>
        <w:tabs>
          <w:tab w:leader="none" w:pos="937"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p>
    <w:p>
      <w:pPr>
        <w:spacing w:after="0" w:line="230" w:lineRule="exact"/>
        <w:rPr>
          <w:rFonts w:ascii="Courier New" w:cs="Courier New" w:eastAsia="Courier New" w:hAnsi="Courier New"/>
          <w:sz w:val="20"/>
          <w:szCs w:val="20"/>
          <w:color w:val="auto"/>
        </w:rPr>
      </w:pPr>
    </w:p>
    <w:p>
      <w:pPr>
        <w:ind w:right="619"/>
        <w:spacing w:after="0" w:line="237" w:lineRule="auto"/>
        <w:tabs>
          <w:tab w:leader="none" w:pos="937"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00" w:lineRule="exact"/>
        <w:rPr>
          <w:sz w:val="20"/>
          <w:szCs w:val="20"/>
          <w:color w:val="auto"/>
        </w:rPr>
      </w:pPr>
    </w:p>
    <w:p>
      <w:pPr>
        <w:spacing w:after="0" w:line="240"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Julia P. Gregory</w:t>
      </w:r>
    </w:p>
    <w:p>
      <w:pPr>
        <w:spacing w:after="0" w:line="238" w:lineRule="auto"/>
        <w:rPr>
          <w:sz w:val="20"/>
          <w:szCs w:val="20"/>
          <w:color w:val="auto"/>
        </w:rPr>
      </w:pPr>
      <w:r>
        <w:rPr>
          <w:rFonts w:ascii="Courier New" w:cs="Courier New" w:eastAsia="Courier New" w:hAnsi="Courier New"/>
          <w:sz w:val="20"/>
          <w:szCs w:val="20"/>
          <w:color w:val="auto"/>
        </w:rPr>
        <w:t>Name: Julia P. Gregory</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226675" TargetMode="External"/><Relationship Id="rId11"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2020-07-23T17:55:44Z</dcterms:created>
  <dcterms:modified xsi:type="dcterms:W3CDTF">2020-07-23T17:55:44Z</dcterms:modified>
</cp:coreProperties>
</file>