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van Houte Hans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07/23/2020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Nurix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NRIX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6"/>
              </w:rPr>
              <w:t>C/O NURIX THERAPEUTICS,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5"/>
              </w:rPr>
              <w:t>1700 OWENS STREET, SUITE 205</w:t>
            </w:r>
          </w:p>
        </w:tc>
      </w:tr>
      <w:tr>
        <w:trPr>
          <w:trHeight w:val="177"/>
        </w:trPr>
        <w:tc>
          <w:tcPr>
            <w:tcW w:w="7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1"/>
        </w:trPr>
        <w:tc>
          <w:tcPr>
            <w:tcW w:w="780" w:type="dxa"/>
            <w:vAlign w:val="bottom"/>
          </w:tcPr>
          <w:p>
            <w:pPr>
              <w:ind w:left="40"/>
              <w:spacing w:after="0" w:line="211" w:lineRule="exact"/>
              <w:rPr>
                <w:sz w:val="20"/>
                <w:szCs w:val="20"/>
                <w:color w:val="auto"/>
              </w:rPr>
            </w:pPr>
            <w:r>
              <w:rPr>
                <w:rFonts w:ascii="Arial" w:cs="Arial" w:eastAsia="Arial" w:hAnsi="Arial"/>
                <w:sz w:val="20"/>
                <w:szCs w:val="20"/>
                <w:color w:val="0000FF"/>
              </w:rPr>
              <w:t>SAN</w:t>
            </w: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09"/>
        </w:trPr>
        <w:tc>
          <w:tcPr>
            <w:tcW w:w="1780" w:type="dxa"/>
            <w:vAlign w:val="bottom"/>
            <w:gridSpan w:val="2"/>
          </w:tcPr>
          <w:p>
            <w:pPr>
              <w:ind w:left="40"/>
              <w:spacing w:after="0"/>
              <w:rPr>
                <w:sz w:val="20"/>
                <w:szCs w:val="20"/>
                <w:color w:val="auto"/>
              </w:rPr>
            </w:pPr>
            <w:r>
              <w:rPr>
                <w:rFonts w:ascii="Arial" w:cs="Arial" w:eastAsia="Arial" w:hAnsi="Arial"/>
                <w:sz w:val="20"/>
                <w:szCs w:val="20"/>
                <w:color w:val="0000FF"/>
              </w:rPr>
              <w:t xml:space="preserve">FRANCISCO </w:t>
            </w:r>
            <w:r>
              <w:rPr>
                <w:rFonts w:ascii="Arial" w:cs="Arial" w:eastAsia="Arial" w:hAnsi="Arial"/>
                <w:sz w:val="39"/>
                <w:szCs w:val="39"/>
                <w:color w:val="0000FF"/>
                <w:vertAlign w:val="superscript"/>
              </w:rPr>
              <w:t>CA</w:t>
            </w:r>
          </w:p>
        </w:tc>
        <w:tc>
          <w:tcPr>
            <w:tcW w:w="1320" w:type="dxa"/>
            <w:vAlign w:val="bottom"/>
          </w:tcPr>
          <w:p>
            <w:pPr>
              <w:jc w:val="right"/>
              <w:ind w:right="394"/>
              <w:spacing w:after="0"/>
              <w:rPr>
                <w:sz w:val="20"/>
                <w:szCs w:val="20"/>
                <w:color w:val="auto"/>
              </w:rPr>
            </w:pPr>
            <w:r>
              <w:rPr>
                <w:rFonts w:ascii="Arial" w:cs="Arial" w:eastAsia="Arial" w:hAnsi="Arial"/>
                <w:sz w:val="20"/>
                <w:szCs w:val="20"/>
                <w:color w:val="0000FF"/>
              </w:rPr>
              <w:t>94158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406"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3430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43027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jc w:val="right"/>
              <w:ind w:right="35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03/01/2028</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ind w:left="200"/>
              <w:spacing w:after="0"/>
              <w:rPr>
                <w:sz w:val="20"/>
                <w:szCs w:val="20"/>
                <w:color w:val="auto"/>
              </w:rPr>
            </w:pPr>
            <w:r>
              <w:rPr>
                <w:rFonts w:ascii="Arial" w:cs="Arial" w:eastAsia="Arial" w:hAnsi="Arial"/>
                <w:sz w:val="20"/>
                <w:szCs w:val="20"/>
                <w:color w:val="0000FF"/>
              </w:rPr>
              <w:t>33,333</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93"/>
              </w:rPr>
              <w:t>1.2</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jc w:val="right"/>
              <w:ind w:right="35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04/26/2026</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ind w:left="200"/>
              <w:spacing w:after="0"/>
              <w:rPr>
                <w:sz w:val="20"/>
                <w:szCs w:val="20"/>
                <w:color w:val="auto"/>
              </w:rPr>
            </w:pPr>
            <w:r>
              <w:rPr>
                <w:rFonts w:ascii="Arial" w:cs="Arial" w:eastAsia="Arial" w:hAnsi="Arial"/>
                <w:sz w:val="20"/>
                <w:szCs w:val="20"/>
                <w:color w:val="0000FF"/>
              </w:rPr>
              <w:t>83,333</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0.84</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jc w:val="right"/>
              <w:ind w:right="35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08/28/2029</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ind w:left="200"/>
              <w:spacing w:after="0"/>
              <w:rPr>
                <w:sz w:val="20"/>
                <w:szCs w:val="20"/>
                <w:color w:val="auto"/>
              </w:rPr>
            </w:pPr>
            <w:r>
              <w:rPr>
                <w:rFonts w:ascii="Arial" w:cs="Arial" w:eastAsia="Arial" w:hAnsi="Arial"/>
                <w:sz w:val="20"/>
                <w:szCs w:val="20"/>
                <w:color w:val="0000FF"/>
              </w:rPr>
              <w:t>33,333</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1.86</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jc w:val="right"/>
              <w:ind w:right="351"/>
              <w:spacing w:after="0"/>
              <w:rPr>
                <w:sz w:val="20"/>
                <w:szCs w:val="20"/>
                <w:color w:val="auto"/>
              </w:rPr>
            </w:pPr>
            <w:r>
              <w:rPr>
                <w:rFonts w:ascii="Arial" w:cs="Arial" w:eastAsia="Arial" w:hAnsi="Arial"/>
                <w:sz w:val="13"/>
                <w:szCs w:val="13"/>
                <w:color w:val="008000"/>
              </w:rPr>
              <w:t>(4)</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02/26/2030</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ind w:left="200"/>
              <w:spacing w:after="0"/>
              <w:rPr>
                <w:sz w:val="20"/>
                <w:szCs w:val="20"/>
                <w:color w:val="auto"/>
              </w:rPr>
            </w:pPr>
            <w:r>
              <w:rPr>
                <w:rFonts w:ascii="Arial" w:cs="Arial" w:eastAsia="Arial" w:hAnsi="Arial"/>
                <w:sz w:val="20"/>
                <w:szCs w:val="20"/>
                <w:color w:val="0000FF"/>
              </w:rPr>
              <w:t>38,333</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7.26</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jc w:val="right"/>
              <w:ind w:right="351"/>
              <w:spacing w:after="0"/>
              <w:rPr>
                <w:sz w:val="20"/>
                <w:szCs w:val="20"/>
                <w:color w:val="auto"/>
              </w:rPr>
            </w:pPr>
            <w:r>
              <w:rPr>
                <w:rFonts w:ascii="Arial" w:cs="Arial" w:eastAsia="Arial" w:hAnsi="Arial"/>
                <w:sz w:val="13"/>
                <w:szCs w:val="13"/>
                <w:color w:val="008000"/>
              </w:rPr>
              <w:t>(5)</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05/27/2030</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ind w:left="200"/>
              <w:spacing w:after="0"/>
              <w:rPr>
                <w:sz w:val="20"/>
                <w:szCs w:val="20"/>
                <w:color w:val="auto"/>
              </w:rPr>
            </w:pPr>
            <w:r>
              <w:rPr>
                <w:rFonts w:ascii="Arial" w:cs="Arial" w:eastAsia="Arial" w:hAnsi="Arial"/>
                <w:sz w:val="20"/>
                <w:szCs w:val="20"/>
                <w:color w:val="0000FF"/>
              </w:rPr>
              <w:t>83,333</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9.57</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3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stock option vests as to 1/48 of the total shares monthly beginning February 2, 2018 until the option is fully vested on January 2, 2022, subject to the Reporting Person's provision of service to the Issuer on each vesting date. The option contains an early-exercise provision and is exercisable as to unvested shares, subject to the Issuer's right of repurchase.</w:t>
      </w:r>
    </w:p>
    <w:p>
      <w:pPr>
        <w:spacing w:after="0" w:line="35" w:lineRule="exact"/>
        <w:rPr>
          <w:rFonts w:ascii="Arial" w:cs="Arial" w:eastAsia="Arial" w:hAnsi="Arial"/>
          <w:sz w:val="15"/>
          <w:szCs w:val="15"/>
          <w:color w:val="008000"/>
        </w:rPr>
      </w:pPr>
    </w:p>
    <w:p>
      <w:pPr>
        <w:ind w:left="40" w:right="1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vested as to 1/4 of the total shares on February 29, 2017, and then 1/48th of the total shares vested monthly thereafter until the option was fully vested on January 29, 2020, subject to the Reporting Person's provision of service to the Issuer on each vesting date. The option contains an early-exercise provision and is exercisable as to unvested shares, subject to the Issuer's right of repurchase.</w:t>
      </w:r>
    </w:p>
    <w:p>
      <w:pPr>
        <w:spacing w:after="0" w:line="35" w:lineRule="exact"/>
        <w:rPr>
          <w:rFonts w:ascii="Arial" w:cs="Arial" w:eastAsia="Arial" w:hAnsi="Arial"/>
          <w:sz w:val="15"/>
          <w:szCs w:val="15"/>
          <w:color w:val="008000"/>
        </w:rPr>
      </w:pPr>
    </w:p>
    <w:p>
      <w:pPr>
        <w:ind w:left="40" w:right="80" w:firstLine="5"/>
        <w:spacing w:after="0" w:line="313"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stock option vests as to 1/48 of the total shares monthly beginning June 10, 2019 until the option is fully vested on May 10, 2023, subject to the Reporting Person's provision of service to the Issuer on each vesting date. The option contains an early-exercise provision and is exercisable as to unvested shares, subject to the Issuer's right of repurchase.</w:t>
      </w:r>
    </w:p>
    <w:p>
      <w:pPr>
        <w:ind w:left="40" w:right="2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stock option vests as to 1/48 of the total shares monthly beginning February 18, 2020 until the option is fully vested on January 18, 2024, subject to the Reporting Person's provision of service to the Issuer on each vesting date. The option contains an early-exercise provision and is exercisable as to unvested shares, subject to the Issuer's right of repurchase.</w:t>
      </w:r>
    </w:p>
    <w:p>
      <w:pPr>
        <w:spacing w:after="0" w:line="35" w:lineRule="exact"/>
        <w:rPr>
          <w:rFonts w:ascii="Arial" w:cs="Arial" w:eastAsia="Arial" w:hAnsi="Arial"/>
          <w:sz w:val="15"/>
          <w:szCs w:val="15"/>
          <w:color w:val="008000"/>
        </w:rPr>
      </w:pPr>
    </w:p>
    <w:p>
      <w:pPr>
        <w:ind w:left="40" w:right="5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stock option vests as to 1/48 of the total shares monthly beginning May 28, 2020 until the option is fully vested on April 28, 2024, subject to the Reporting Person's provision of service to the Issuer on each vesting date. The option contains an early-exercise provision and is exercisable as to unvested shares, subject to the Issuer's right of repurchase.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658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20"/>
                <w:szCs w:val="20"/>
                <w:color w:val="0000FF"/>
              </w:rPr>
              <w:t>/s/ Christine Ring, as</w:t>
            </w:r>
          </w:p>
        </w:tc>
        <w:tc>
          <w:tcPr>
            <w:tcW w:w="1040" w:type="dxa"/>
            <w:vAlign w:val="bottom"/>
            <w:gridSpan w:val="2"/>
          </w:tcPr>
          <w:p>
            <w:pPr>
              <w:jc w:val="right"/>
              <w:spacing w:after="0"/>
              <w:rPr>
                <w:sz w:val="20"/>
                <w:szCs w:val="20"/>
                <w:color w:val="auto"/>
              </w:rPr>
            </w:pPr>
            <w:r>
              <w:rPr>
                <w:rFonts w:ascii="Arial" w:cs="Arial" w:eastAsia="Arial" w:hAnsi="Arial"/>
                <w:sz w:val="20"/>
                <w:szCs w:val="20"/>
                <w:color w:val="0000FF"/>
              </w:rPr>
              <w:t>07/23/2020</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20"/>
        </w:trPr>
        <w:tc>
          <w:tcPr>
            <w:tcW w:w="204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90"/>
              </w:rPr>
              <w:t>Attorney-in-Fact for Hans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20"/>
                <w:szCs w:val="20"/>
                <w:color w:val="0000FF"/>
              </w:rPr>
              <w:t>van Houte</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192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05"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30" w:lineRule="exact"/>
        <w:rPr>
          <w:sz w:val="20"/>
          <w:szCs w:val="20"/>
          <w:color w:val="auto"/>
        </w:rPr>
      </w:pPr>
    </w:p>
    <w:p>
      <w:pPr>
        <w:jc w:val="both"/>
        <w:ind w:right="839"/>
        <w:spacing w:after="0" w:line="274" w:lineRule="auto"/>
        <w:rPr>
          <w:sz w:val="20"/>
          <w:szCs w:val="20"/>
          <w:color w:val="auto"/>
        </w:rPr>
      </w:pPr>
      <w:r>
        <w:rPr>
          <w:rFonts w:ascii="Courier New" w:cs="Courier New" w:eastAsia="Courier New" w:hAnsi="Courier New"/>
          <w:sz w:val="18"/>
          <w:szCs w:val="18"/>
          <w:color w:val="auto"/>
        </w:rPr>
        <w:t>The undersigned hereby constitutes and appoints Christine Ring, as long as she is providing services to Nurix Therapeutics, Inc. or its related entities (the "Company"), the undersigned's true and lawful attorney-in-fact to:</w:t>
      </w:r>
    </w:p>
    <w:p>
      <w:pPr>
        <w:spacing w:after="0" w:line="202" w:lineRule="exact"/>
        <w:rPr>
          <w:sz w:val="20"/>
          <w:szCs w:val="20"/>
          <w:color w:val="auto"/>
        </w:rPr>
      </w:pPr>
    </w:p>
    <w:p>
      <w:pPr>
        <w:ind w:right="259"/>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the Company, Forms 3, 4 and 5 in accordance</w:t>
      </w:r>
    </w:p>
    <w:p>
      <w:pPr>
        <w:spacing w:after="0" w:line="1" w:lineRule="exact"/>
        <w:rPr>
          <w:rFonts w:ascii="Courier New" w:cs="Courier New" w:eastAsia="Courier New" w:hAnsi="Courier New"/>
          <w:sz w:val="18"/>
          <w:szCs w:val="18"/>
          <w:color w:val="auto"/>
        </w:rPr>
      </w:pPr>
    </w:p>
    <w:p>
      <w:pPr>
        <w:ind w:right="131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with Section 16(a) of the Securities Exchange Act of 1934, as amended (the "Exchange Act"), and the rules and regulations thereunder;</w:t>
      </w:r>
    </w:p>
    <w:p>
      <w:pPr>
        <w:spacing w:after="0" w:line="229" w:lineRule="exact"/>
        <w:rPr>
          <w:rFonts w:ascii="Courier New" w:cs="Courier New" w:eastAsia="Courier New" w:hAnsi="Courier New"/>
          <w:sz w:val="18"/>
          <w:szCs w:val="18"/>
          <w:color w:val="auto"/>
        </w:rPr>
      </w:pPr>
    </w:p>
    <w:p>
      <w:pPr>
        <w:ind w:right="499"/>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p>
    <w:p>
      <w:pPr>
        <w:spacing w:after="0" w:line="230" w:lineRule="exact"/>
        <w:rPr>
          <w:rFonts w:ascii="Courier New" w:cs="Courier New" w:eastAsia="Courier New" w:hAnsi="Courier New"/>
          <w:sz w:val="20"/>
          <w:szCs w:val="20"/>
          <w:color w:val="auto"/>
        </w:rPr>
      </w:pPr>
    </w:p>
    <w:p>
      <w:pPr>
        <w:ind w:right="619"/>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200" w:lineRule="exact"/>
        <w:rPr>
          <w:sz w:val="20"/>
          <w:szCs w:val="20"/>
          <w:color w:val="auto"/>
        </w:rPr>
      </w:pPr>
    </w:p>
    <w:p>
      <w:pPr>
        <w:spacing w:after="0" w:line="240"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19th day of June,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Hans van Houte</w:t>
      </w:r>
    </w:p>
    <w:p>
      <w:pPr>
        <w:spacing w:after="0" w:line="238" w:lineRule="auto"/>
        <w:rPr>
          <w:sz w:val="20"/>
          <w:szCs w:val="20"/>
          <w:color w:val="auto"/>
        </w:rPr>
      </w:pPr>
      <w:r>
        <w:rPr>
          <w:rFonts w:ascii="Courier New" w:cs="Courier New" w:eastAsia="Courier New" w:hAnsi="Courier New"/>
          <w:sz w:val="20"/>
          <w:szCs w:val="20"/>
          <w:color w:val="auto"/>
        </w:rPr>
        <w:t>Name: Hans van Houte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7217" TargetMode="External"/><Relationship Id="rId11" Type="http://schemas.openxmlformats.org/officeDocument/2006/relationships/hyperlink" Target="http://www.sec.gov/cgi-bin/browse-edgar?action=getcompany&amp;CIK=0001549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2020-07-23T17:47:45Z</dcterms:created>
  <dcterms:modified xsi:type="dcterms:W3CDTF">2020-07-23T17:47:45Z</dcterms:modified>
</cp:coreProperties>
</file>